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528C" w14:textId="161E0CFB" w:rsidR="00D218F8" w:rsidRPr="003E3D66" w:rsidRDefault="00D35432" w:rsidP="00D218F8">
      <w:pPr>
        <w:spacing w:after="0" w:line="240" w:lineRule="auto"/>
        <w:jc w:val="right"/>
        <w:rPr>
          <w:rFonts w:ascii="Times New Roman" w:hAnsi="Times New Roman" w:cs="Times New Roman"/>
          <w:sz w:val="24"/>
          <w:szCs w:val="24"/>
        </w:rPr>
      </w:pPr>
      <w:r w:rsidRPr="003E3D66">
        <w:rPr>
          <w:rFonts w:ascii="Times New Roman" w:hAnsi="Times New Roman" w:cs="Times New Roman"/>
          <w:sz w:val="24"/>
          <w:szCs w:val="24"/>
        </w:rPr>
        <w:t xml:space="preserve">Atmosfääriõhu kaitse </w:t>
      </w:r>
      <w:r w:rsidR="00D218F8" w:rsidRPr="003E3D66">
        <w:rPr>
          <w:rFonts w:ascii="Times New Roman" w:hAnsi="Times New Roman" w:cs="Times New Roman"/>
          <w:sz w:val="24"/>
          <w:szCs w:val="24"/>
        </w:rPr>
        <w:t xml:space="preserve">seaduse ja </w:t>
      </w:r>
      <w:r w:rsidRPr="003E3D66">
        <w:rPr>
          <w:rFonts w:ascii="Times New Roman" w:hAnsi="Times New Roman" w:cs="Times New Roman"/>
          <w:sz w:val="24"/>
          <w:szCs w:val="24"/>
        </w:rPr>
        <w:t>karistusregistri seaduse</w:t>
      </w:r>
      <w:r w:rsidR="00D218F8" w:rsidRPr="003E3D66">
        <w:rPr>
          <w:rFonts w:ascii="Times New Roman" w:hAnsi="Times New Roman" w:cs="Times New Roman"/>
          <w:sz w:val="24"/>
          <w:szCs w:val="24"/>
        </w:rPr>
        <w:t xml:space="preserve"> muutmise seaduse </w:t>
      </w:r>
    </w:p>
    <w:p w14:paraId="247A5DF3" w14:textId="19E4C6D0" w:rsidR="00971D46" w:rsidRPr="003E3D66" w:rsidRDefault="00D218F8" w:rsidP="00D218F8">
      <w:pPr>
        <w:spacing w:after="0" w:line="240" w:lineRule="auto"/>
        <w:jc w:val="right"/>
        <w:rPr>
          <w:rFonts w:ascii="Times New Roman" w:hAnsi="Times New Roman" w:cs="Times New Roman"/>
          <w:sz w:val="24"/>
          <w:szCs w:val="24"/>
        </w:rPr>
      </w:pPr>
      <w:r w:rsidRPr="003E3D66">
        <w:rPr>
          <w:rFonts w:ascii="Times New Roman" w:hAnsi="Times New Roman" w:cs="Times New Roman"/>
          <w:sz w:val="24"/>
          <w:szCs w:val="24"/>
        </w:rPr>
        <w:t xml:space="preserve">eelnõu seletuskirja </w:t>
      </w:r>
    </w:p>
    <w:p w14:paraId="4F307CAE" w14:textId="5F1B4D34" w:rsidR="00D218F8" w:rsidRPr="003E3D66" w:rsidRDefault="00D218F8" w:rsidP="00D218F8">
      <w:pPr>
        <w:spacing w:after="0" w:line="240" w:lineRule="auto"/>
        <w:jc w:val="right"/>
        <w:rPr>
          <w:rFonts w:ascii="Times New Roman" w:hAnsi="Times New Roman" w:cs="Times New Roman"/>
          <w:sz w:val="24"/>
          <w:szCs w:val="24"/>
        </w:rPr>
      </w:pPr>
      <w:r w:rsidRPr="003E3D66">
        <w:rPr>
          <w:rFonts w:ascii="Times New Roman" w:hAnsi="Times New Roman" w:cs="Times New Roman"/>
          <w:sz w:val="24"/>
          <w:szCs w:val="24"/>
        </w:rPr>
        <w:t xml:space="preserve">Lisa </w:t>
      </w:r>
      <w:r w:rsidR="004D34E6">
        <w:rPr>
          <w:rFonts w:ascii="Times New Roman" w:hAnsi="Times New Roman" w:cs="Times New Roman"/>
          <w:sz w:val="24"/>
          <w:szCs w:val="24"/>
        </w:rPr>
        <w:t>1</w:t>
      </w:r>
    </w:p>
    <w:p w14:paraId="18B2D377" w14:textId="1F6734F4" w:rsidR="00D35432" w:rsidRPr="003E3D66" w:rsidRDefault="00D35432" w:rsidP="00D35432">
      <w:pPr>
        <w:spacing w:after="0" w:line="240" w:lineRule="auto"/>
        <w:jc w:val="center"/>
        <w:rPr>
          <w:rFonts w:ascii="Times New Roman" w:hAnsi="Times New Roman" w:cs="Times New Roman"/>
          <w:b/>
          <w:bCs/>
          <w:sz w:val="24"/>
          <w:szCs w:val="24"/>
        </w:rPr>
      </w:pPr>
      <w:r w:rsidRPr="003E3D66">
        <w:rPr>
          <w:rFonts w:ascii="Times New Roman" w:hAnsi="Times New Roman" w:cs="Times New Roman"/>
          <w:b/>
          <w:bCs/>
          <w:sz w:val="24"/>
          <w:szCs w:val="24"/>
        </w:rPr>
        <w:t>Atmosfääriõhu kaitse seaduse ja karistusregistri seaduse muutmise seaduse</w:t>
      </w:r>
    </w:p>
    <w:p w14:paraId="63473ACA" w14:textId="10689F45" w:rsidR="00D218F8" w:rsidRPr="003E3D66" w:rsidRDefault="00D218F8" w:rsidP="00D218F8">
      <w:pPr>
        <w:spacing w:after="0" w:line="240" w:lineRule="auto"/>
        <w:jc w:val="center"/>
        <w:rPr>
          <w:rFonts w:ascii="Times New Roman" w:hAnsi="Times New Roman" w:cs="Times New Roman"/>
          <w:b/>
          <w:bCs/>
          <w:sz w:val="24"/>
          <w:szCs w:val="24"/>
        </w:rPr>
      </w:pPr>
      <w:r w:rsidRPr="003E3D66">
        <w:rPr>
          <w:rFonts w:ascii="Times New Roman" w:hAnsi="Times New Roman" w:cs="Times New Roman"/>
          <w:b/>
          <w:bCs/>
          <w:sz w:val="24"/>
          <w:szCs w:val="24"/>
        </w:rPr>
        <w:t>eelnõu kooskõlastustabel</w:t>
      </w:r>
    </w:p>
    <w:p w14:paraId="256EBC46" w14:textId="77777777" w:rsidR="00D218F8" w:rsidRPr="003E3D66" w:rsidRDefault="00D218F8" w:rsidP="00D218F8">
      <w:pPr>
        <w:spacing w:after="0" w:line="240" w:lineRule="auto"/>
        <w:jc w:val="center"/>
        <w:rPr>
          <w:rFonts w:ascii="Times New Roman" w:hAnsi="Times New Roman" w:cs="Times New Roman"/>
          <w:sz w:val="24"/>
          <w:szCs w:val="24"/>
        </w:rPr>
      </w:pPr>
    </w:p>
    <w:p w14:paraId="4D11FB19" w14:textId="77777777" w:rsidR="00D218F8" w:rsidRPr="003E3D66" w:rsidRDefault="00D218F8" w:rsidP="00D218F8">
      <w:pPr>
        <w:spacing w:after="0" w:line="240" w:lineRule="auto"/>
        <w:jc w:val="center"/>
        <w:rPr>
          <w:rFonts w:ascii="Times New Roman" w:hAnsi="Times New Roman" w:cs="Times New Roman"/>
          <w:sz w:val="24"/>
          <w:szCs w:val="24"/>
        </w:rPr>
      </w:pPr>
    </w:p>
    <w:p w14:paraId="76E686E0" w14:textId="0431140E" w:rsidR="00D218F8" w:rsidRPr="003E3D66" w:rsidRDefault="00D218F8" w:rsidP="00D218F8">
      <w:pPr>
        <w:spacing w:after="0" w:line="240" w:lineRule="auto"/>
        <w:jc w:val="both"/>
        <w:rPr>
          <w:rFonts w:ascii="Times New Roman" w:hAnsi="Times New Roman" w:cs="Times New Roman"/>
          <w:b/>
          <w:bCs/>
          <w:sz w:val="24"/>
          <w:szCs w:val="24"/>
        </w:rPr>
      </w:pPr>
      <w:r w:rsidRPr="003E3D66">
        <w:rPr>
          <w:rFonts w:ascii="Times New Roman" w:hAnsi="Times New Roman" w:cs="Times New Roman"/>
          <w:b/>
          <w:bCs/>
          <w:sz w:val="24"/>
          <w:szCs w:val="24"/>
        </w:rPr>
        <w:t>1. </w:t>
      </w:r>
      <w:r w:rsidR="00D35432" w:rsidRPr="003E3D66">
        <w:rPr>
          <w:rFonts w:ascii="Times New Roman" w:hAnsi="Times New Roman" w:cs="Times New Roman"/>
          <w:b/>
          <w:bCs/>
          <w:sz w:val="24"/>
          <w:szCs w:val="24"/>
        </w:rPr>
        <w:t>Sotsiaalministeerium</w:t>
      </w:r>
    </w:p>
    <w:p w14:paraId="4AD0B6B9" w14:textId="77777777" w:rsidR="00D218F8" w:rsidRPr="003E3D66" w:rsidRDefault="00D218F8" w:rsidP="00D218F8">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76"/>
        <w:gridCol w:w="6932"/>
        <w:gridCol w:w="2268"/>
        <w:gridCol w:w="4218"/>
      </w:tblGrid>
      <w:tr w:rsidR="00D218F8" w:rsidRPr="003E3D66" w14:paraId="2C17B6DE" w14:textId="77777777" w:rsidTr="6FC2B09F">
        <w:tc>
          <w:tcPr>
            <w:tcW w:w="576" w:type="dxa"/>
          </w:tcPr>
          <w:p w14:paraId="63A8DEBC" w14:textId="70436E7E" w:rsidR="00D218F8" w:rsidRPr="003E3D66" w:rsidRDefault="00D218F8" w:rsidP="00D218F8">
            <w:pPr>
              <w:jc w:val="center"/>
              <w:rPr>
                <w:rFonts w:ascii="Times New Roman" w:hAnsi="Times New Roman" w:cs="Times New Roman"/>
                <w:b/>
                <w:bCs/>
                <w:sz w:val="24"/>
                <w:szCs w:val="24"/>
              </w:rPr>
            </w:pPr>
            <w:r w:rsidRPr="003E3D66">
              <w:rPr>
                <w:rFonts w:ascii="Times New Roman" w:hAnsi="Times New Roman" w:cs="Times New Roman"/>
                <w:b/>
                <w:bCs/>
                <w:sz w:val="24"/>
                <w:szCs w:val="24"/>
              </w:rPr>
              <w:t>Jrk nr</w:t>
            </w:r>
          </w:p>
        </w:tc>
        <w:tc>
          <w:tcPr>
            <w:tcW w:w="6932" w:type="dxa"/>
          </w:tcPr>
          <w:p w14:paraId="6075CC21" w14:textId="435FD3FC" w:rsidR="00D218F8" w:rsidRPr="003E3D66" w:rsidRDefault="00D218F8" w:rsidP="00D218F8">
            <w:pPr>
              <w:jc w:val="center"/>
              <w:rPr>
                <w:rFonts w:ascii="Times New Roman" w:hAnsi="Times New Roman" w:cs="Times New Roman"/>
                <w:b/>
                <w:bCs/>
                <w:sz w:val="24"/>
                <w:szCs w:val="24"/>
              </w:rPr>
            </w:pPr>
            <w:r w:rsidRPr="003E3D66">
              <w:rPr>
                <w:rFonts w:ascii="Times New Roman" w:hAnsi="Times New Roman" w:cs="Times New Roman"/>
                <w:b/>
                <w:bCs/>
                <w:sz w:val="24"/>
                <w:szCs w:val="24"/>
              </w:rPr>
              <w:t>Ettepaneku/märkuse sisu</w:t>
            </w:r>
          </w:p>
        </w:tc>
        <w:tc>
          <w:tcPr>
            <w:tcW w:w="2268" w:type="dxa"/>
          </w:tcPr>
          <w:p w14:paraId="2224F52B" w14:textId="654EBB01" w:rsidR="00D218F8" w:rsidRPr="003E3D66" w:rsidRDefault="00D218F8" w:rsidP="00D218F8">
            <w:pPr>
              <w:jc w:val="center"/>
              <w:rPr>
                <w:rFonts w:ascii="Times New Roman" w:hAnsi="Times New Roman" w:cs="Times New Roman"/>
                <w:b/>
                <w:bCs/>
                <w:sz w:val="24"/>
                <w:szCs w:val="24"/>
              </w:rPr>
            </w:pPr>
            <w:r w:rsidRPr="003E3D66">
              <w:rPr>
                <w:rFonts w:ascii="Times New Roman" w:hAnsi="Times New Roman" w:cs="Times New Roman"/>
                <w:b/>
                <w:bCs/>
                <w:sz w:val="24"/>
                <w:szCs w:val="24"/>
              </w:rPr>
              <w:t>Arvestatud/</w:t>
            </w:r>
            <w:r w:rsidR="00530814" w:rsidRPr="003E3D66">
              <w:rPr>
                <w:rFonts w:ascii="Times New Roman" w:hAnsi="Times New Roman" w:cs="Times New Roman"/>
                <w:b/>
                <w:bCs/>
                <w:sz w:val="24"/>
                <w:szCs w:val="24"/>
              </w:rPr>
              <w:t xml:space="preserve"> </w:t>
            </w:r>
            <w:r w:rsidRPr="003E3D66">
              <w:rPr>
                <w:rFonts w:ascii="Times New Roman" w:hAnsi="Times New Roman" w:cs="Times New Roman"/>
                <w:b/>
                <w:bCs/>
                <w:sz w:val="24"/>
                <w:szCs w:val="24"/>
              </w:rPr>
              <w:t>mittearvestatud</w:t>
            </w:r>
          </w:p>
        </w:tc>
        <w:tc>
          <w:tcPr>
            <w:tcW w:w="4218" w:type="dxa"/>
          </w:tcPr>
          <w:p w14:paraId="7EDE2AAA" w14:textId="77277C9D" w:rsidR="00D218F8" w:rsidRPr="003E3D66" w:rsidRDefault="00D218F8" w:rsidP="00D218F8">
            <w:pPr>
              <w:jc w:val="center"/>
              <w:rPr>
                <w:rFonts w:ascii="Times New Roman" w:hAnsi="Times New Roman" w:cs="Times New Roman"/>
                <w:b/>
                <w:bCs/>
                <w:sz w:val="24"/>
                <w:szCs w:val="24"/>
              </w:rPr>
            </w:pPr>
            <w:r w:rsidRPr="003E3D66">
              <w:rPr>
                <w:rFonts w:ascii="Times New Roman" w:hAnsi="Times New Roman" w:cs="Times New Roman"/>
                <w:b/>
                <w:bCs/>
                <w:sz w:val="24"/>
                <w:szCs w:val="24"/>
              </w:rPr>
              <w:t>Kommentaarid</w:t>
            </w:r>
          </w:p>
        </w:tc>
      </w:tr>
      <w:tr w:rsidR="00D218F8" w:rsidRPr="003E3D66" w14:paraId="2008B17B" w14:textId="77777777" w:rsidTr="6FC2B09F">
        <w:tc>
          <w:tcPr>
            <w:tcW w:w="576" w:type="dxa"/>
          </w:tcPr>
          <w:p w14:paraId="24CF26E9" w14:textId="0ACD5B80" w:rsidR="00D218F8" w:rsidRPr="003E3D66" w:rsidRDefault="00D218F8" w:rsidP="00D218F8">
            <w:pPr>
              <w:jc w:val="both"/>
              <w:rPr>
                <w:rFonts w:ascii="Times New Roman" w:hAnsi="Times New Roman" w:cs="Times New Roman"/>
                <w:sz w:val="24"/>
                <w:szCs w:val="24"/>
              </w:rPr>
            </w:pPr>
            <w:r w:rsidRPr="003E3D66">
              <w:rPr>
                <w:rFonts w:ascii="Times New Roman" w:hAnsi="Times New Roman" w:cs="Times New Roman"/>
                <w:sz w:val="24"/>
                <w:szCs w:val="24"/>
              </w:rPr>
              <w:t>1</w:t>
            </w:r>
          </w:p>
        </w:tc>
        <w:tc>
          <w:tcPr>
            <w:tcW w:w="6932" w:type="dxa"/>
          </w:tcPr>
          <w:p w14:paraId="15736033" w14:textId="77777777" w:rsidR="00D35432" w:rsidRPr="003E3D66" w:rsidRDefault="00D35432" w:rsidP="00D35432">
            <w:pPr>
              <w:jc w:val="both"/>
              <w:rPr>
                <w:rFonts w:ascii="Times New Roman" w:hAnsi="Times New Roman" w:cs="Times New Roman"/>
                <w:sz w:val="24"/>
                <w:szCs w:val="24"/>
              </w:rPr>
            </w:pPr>
            <w:r w:rsidRPr="003E3D66">
              <w:rPr>
                <w:rFonts w:ascii="Times New Roman" w:hAnsi="Times New Roman" w:cs="Times New Roman"/>
                <w:sz w:val="24"/>
                <w:szCs w:val="24"/>
              </w:rPr>
              <w:t xml:space="preserve">Kooskõlastame esitatud eelnõu järgmise märkusega. Seoses bürokraatia vähendamisega oleme Vabariigi Valitsusele esitanud memo, mis sai ka heakskiidu ettepanekuga, et atmosfääriõhu kaitse seaduses tehtavate muudatustega vähendame asulate välisõhu mürakaardi ja müra vähendamise tegevuskavadega seotud halduskoormust. </w:t>
            </w:r>
          </w:p>
          <w:p w14:paraId="063E3250" w14:textId="77777777" w:rsidR="00D35432" w:rsidRPr="003E3D66" w:rsidRDefault="00D35432" w:rsidP="00D35432">
            <w:pPr>
              <w:jc w:val="both"/>
              <w:rPr>
                <w:rFonts w:ascii="Times New Roman" w:hAnsi="Times New Roman" w:cs="Times New Roman"/>
                <w:sz w:val="24"/>
                <w:szCs w:val="24"/>
              </w:rPr>
            </w:pPr>
          </w:p>
          <w:p w14:paraId="1B1CD9DE" w14:textId="77777777" w:rsidR="00D35432" w:rsidRPr="003E3D66" w:rsidRDefault="00D35432" w:rsidP="00D35432">
            <w:pPr>
              <w:jc w:val="both"/>
              <w:rPr>
                <w:rFonts w:ascii="Times New Roman" w:hAnsi="Times New Roman" w:cs="Times New Roman"/>
                <w:sz w:val="24"/>
                <w:szCs w:val="24"/>
              </w:rPr>
            </w:pPr>
            <w:r w:rsidRPr="003E3D66">
              <w:rPr>
                <w:rFonts w:ascii="Times New Roman" w:hAnsi="Times New Roman" w:cs="Times New Roman"/>
                <w:sz w:val="24"/>
                <w:szCs w:val="24"/>
              </w:rPr>
              <w:t>Eeltoodust tuleneval palume eelnõu täiendada järgmiste muutmispunktidega:</w:t>
            </w:r>
          </w:p>
          <w:p w14:paraId="3CDED2F8" w14:textId="77777777" w:rsidR="00D35432" w:rsidRPr="003E3D66" w:rsidRDefault="00D35432" w:rsidP="00D35432">
            <w:pPr>
              <w:numPr>
                <w:ilvl w:val="0"/>
                <w:numId w:val="1"/>
              </w:numPr>
              <w:jc w:val="both"/>
              <w:rPr>
                <w:rFonts w:ascii="Times New Roman" w:hAnsi="Times New Roman" w:cs="Times New Roman"/>
                <w:sz w:val="24"/>
                <w:szCs w:val="24"/>
              </w:rPr>
            </w:pPr>
            <w:r w:rsidRPr="003E3D66">
              <w:rPr>
                <w:rFonts w:ascii="Times New Roman" w:hAnsi="Times New Roman" w:cs="Times New Roman"/>
                <w:sz w:val="24"/>
                <w:szCs w:val="24"/>
              </w:rPr>
              <w:t>Atmosfääriõhu kaitse seaduse paragrahvi 63 lõige 7 jäetakse seaduse tekstist välja;</w:t>
            </w:r>
          </w:p>
          <w:p w14:paraId="4B504C36" w14:textId="77777777" w:rsidR="00D35432" w:rsidRPr="003E3D66" w:rsidRDefault="00D35432" w:rsidP="00D35432">
            <w:pPr>
              <w:numPr>
                <w:ilvl w:val="0"/>
                <w:numId w:val="1"/>
              </w:numPr>
              <w:jc w:val="both"/>
              <w:rPr>
                <w:rFonts w:ascii="Times New Roman" w:hAnsi="Times New Roman" w:cs="Times New Roman"/>
                <w:sz w:val="24"/>
                <w:szCs w:val="24"/>
              </w:rPr>
            </w:pPr>
            <w:r w:rsidRPr="003E3D66">
              <w:rPr>
                <w:rFonts w:ascii="Times New Roman" w:hAnsi="Times New Roman" w:cs="Times New Roman"/>
                <w:sz w:val="24"/>
                <w:szCs w:val="24"/>
              </w:rPr>
              <w:t>Atmosfääriõhu kaitse seaduse paragrahvi 64 lõikest 2 jätta välja sõnad „Terviseametile ning“.</w:t>
            </w:r>
          </w:p>
          <w:p w14:paraId="62887E78" w14:textId="77777777" w:rsidR="00D35432" w:rsidRPr="003E3D66" w:rsidRDefault="00D35432" w:rsidP="00D35432">
            <w:pPr>
              <w:jc w:val="both"/>
              <w:rPr>
                <w:rFonts w:ascii="Times New Roman" w:hAnsi="Times New Roman" w:cs="Times New Roman"/>
                <w:sz w:val="24"/>
                <w:szCs w:val="24"/>
              </w:rPr>
            </w:pPr>
          </w:p>
          <w:p w14:paraId="2968AD0B" w14:textId="77777777" w:rsidR="00D35432" w:rsidRPr="003E3D66" w:rsidRDefault="00D35432" w:rsidP="00D35432">
            <w:pPr>
              <w:jc w:val="both"/>
              <w:rPr>
                <w:rFonts w:ascii="Times New Roman" w:hAnsi="Times New Roman" w:cs="Times New Roman"/>
                <w:sz w:val="24"/>
                <w:szCs w:val="24"/>
              </w:rPr>
            </w:pPr>
            <w:r w:rsidRPr="003E3D66">
              <w:rPr>
                <w:rFonts w:ascii="Times New Roman" w:hAnsi="Times New Roman" w:cs="Times New Roman"/>
                <w:sz w:val="24"/>
                <w:szCs w:val="24"/>
              </w:rPr>
              <w:t xml:space="preserve">Ettepaneku eesmärk on vähendada kohalike omavalitsuste ja riigiasutuste halduskoormust seoses välisõhu mürakaartide ja müra vähendamise tegevuskavade koostamisega. Muudatus on kooskõlas Vabariigi Valitsuse suunistega, mis näevad ette ebavajalike nõuete ja halduskoormuse vähendamise. Kehtiva korra järgi tuleb müra strateegilised dokumendid esitada teadmiseks Terviseametile (AÕKS § 63 lg 7 ja § 64 lg 2). Tegelikkuses puudub Terviseametil nende </w:t>
            </w:r>
            <w:r w:rsidRPr="003E3D66">
              <w:rPr>
                <w:rFonts w:ascii="Times New Roman" w:hAnsi="Times New Roman" w:cs="Times New Roman"/>
                <w:sz w:val="24"/>
                <w:szCs w:val="24"/>
              </w:rPr>
              <w:lastRenderedPageBreak/>
              <w:t>dokumentide osas sisuline roll – ta ei osale nende koostamises ja hindamises ning mürakaartide ja tegevuskavade teadmiseks saatmine ei aita kuidagi parandada mürakaartide ja nende tegevuskavade kvaliteeti (Terviseametil puudub õiguslikult siduv funktsioon protsessi sekkumiseks või selle mõjutamiseks). Samal ajal on teadmiseks saatmise puhul tegemist varjatud kohustusega, mille täitmine eeldab dokumentidega põhjalikku tutvumist, kuigi sellest ei tulene ametile otseseid kohustusi ega õigusi.</w:t>
            </w:r>
          </w:p>
          <w:p w14:paraId="2FC3449B" w14:textId="77777777" w:rsidR="00D35432" w:rsidRPr="003E3D66" w:rsidRDefault="00D35432" w:rsidP="00D35432">
            <w:pPr>
              <w:jc w:val="both"/>
              <w:rPr>
                <w:rFonts w:ascii="Times New Roman" w:hAnsi="Times New Roman" w:cs="Times New Roman"/>
                <w:sz w:val="24"/>
                <w:szCs w:val="24"/>
              </w:rPr>
            </w:pPr>
          </w:p>
          <w:p w14:paraId="712BBE54" w14:textId="77777777" w:rsidR="00D35432" w:rsidRPr="003E3D66" w:rsidRDefault="00D35432" w:rsidP="00D35432">
            <w:pPr>
              <w:jc w:val="both"/>
              <w:rPr>
                <w:rFonts w:ascii="Times New Roman" w:hAnsi="Times New Roman" w:cs="Times New Roman"/>
                <w:sz w:val="24"/>
                <w:szCs w:val="24"/>
              </w:rPr>
            </w:pPr>
            <w:r w:rsidRPr="003E3D66">
              <w:rPr>
                <w:rFonts w:ascii="Times New Roman" w:hAnsi="Times New Roman" w:cs="Times New Roman"/>
                <w:sz w:val="24"/>
                <w:szCs w:val="24"/>
              </w:rPr>
              <w:t>Mürakaardid ja tegevuskavad on kohaliku omavalitsuse strateegilised tööriistad kohaliku elukeskkonna kujundamiseks. Vastavalt AÕKS § 65 lg 1 ja 2 tuleb need avalikustada omavalitsuse kodulehel. Kui Terviseametil tekib vajadus dokumentidega tutvumiseks (nt järelevalve või ohuprognooside koostamise raames), saab ta need sealt kätte.</w:t>
            </w:r>
          </w:p>
          <w:p w14:paraId="36319C6B" w14:textId="77777777" w:rsidR="00D35432" w:rsidRPr="003E3D66" w:rsidRDefault="00D35432" w:rsidP="00D35432">
            <w:pPr>
              <w:jc w:val="both"/>
              <w:rPr>
                <w:rFonts w:ascii="Times New Roman" w:hAnsi="Times New Roman" w:cs="Times New Roman"/>
                <w:sz w:val="24"/>
                <w:szCs w:val="24"/>
              </w:rPr>
            </w:pPr>
          </w:p>
          <w:p w14:paraId="284A911C" w14:textId="77777777" w:rsidR="00D35432" w:rsidRPr="003E3D66" w:rsidRDefault="00D35432" w:rsidP="00D35432">
            <w:pPr>
              <w:jc w:val="both"/>
              <w:rPr>
                <w:rFonts w:ascii="Times New Roman" w:hAnsi="Times New Roman" w:cs="Times New Roman"/>
                <w:sz w:val="24"/>
                <w:szCs w:val="24"/>
              </w:rPr>
            </w:pPr>
            <w:r w:rsidRPr="003E3D66">
              <w:rPr>
                <w:rFonts w:ascii="Times New Roman" w:hAnsi="Times New Roman" w:cs="Times New Roman"/>
                <w:sz w:val="24"/>
                <w:szCs w:val="24"/>
              </w:rPr>
              <w:t>Kokkuvõttes aitab ettepanek vähendada dubleerivat töökoormust, säilitades samas kõik vajalikud võimalused Terviseametile oma järelevalve ja muude ülesannete täitmiseks.</w:t>
            </w:r>
          </w:p>
          <w:p w14:paraId="4FADA9A6" w14:textId="77777777" w:rsidR="00D35432" w:rsidRPr="003E3D66" w:rsidRDefault="00D35432" w:rsidP="00D35432">
            <w:pPr>
              <w:jc w:val="both"/>
              <w:rPr>
                <w:rFonts w:ascii="Times New Roman" w:hAnsi="Times New Roman" w:cs="Times New Roman"/>
                <w:sz w:val="24"/>
                <w:szCs w:val="24"/>
              </w:rPr>
            </w:pPr>
          </w:p>
          <w:p w14:paraId="3A147E54" w14:textId="745D9755" w:rsidR="00D218F8" w:rsidRPr="003E3D66" w:rsidRDefault="00D218F8" w:rsidP="00530814">
            <w:pPr>
              <w:jc w:val="both"/>
              <w:rPr>
                <w:rFonts w:ascii="Times New Roman" w:hAnsi="Times New Roman" w:cs="Times New Roman"/>
                <w:sz w:val="24"/>
                <w:szCs w:val="24"/>
              </w:rPr>
            </w:pPr>
          </w:p>
        </w:tc>
        <w:tc>
          <w:tcPr>
            <w:tcW w:w="2268" w:type="dxa"/>
          </w:tcPr>
          <w:p w14:paraId="3F3F3382" w14:textId="2035858A" w:rsidR="00D218F8" w:rsidRPr="003E3D66" w:rsidRDefault="00FB7554" w:rsidP="00D218F8">
            <w:pPr>
              <w:jc w:val="both"/>
              <w:rPr>
                <w:rFonts w:ascii="Times New Roman" w:hAnsi="Times New Roman" w:cs="Times New Roman"/>
                <w:sz w:val="24"/>
                <w:szCs w:val="24"/>
              </w:rPr>
            </w:pPr>
            <w:r>
              <w:rPr>
                <w:rFonts w:ascii="Times New Roman" w:hAnsi="Times New Roman" w:cs="Times New Roman"/>
                <w:sz w:val="24"/>
                <w:szCs w:val="24"/>
              </w:rPr>
              <w:lastRenderedPageBreak/>
              <w:t>Mitte arvestatud</w:t>
            </w:r>
          </w:p>
        </w:tc>
        <w:tc>
          <w:tcPr>
            <w:tcW w:w="4218" w:type="dxa"/>
          </w:tcPr>
          <w:p w14:paraId="76A7D7A4" w14:textId="79CBBADA" w:rsidR="00D218F8" w:rsidRPr="003E3D66" w:rsidRDefault="00FB7554" w:rsidP="00D35432">
            <w:pPr>
              <w:jc w:val="both"/>
              <w:rPr>
                <w:rFonts w:ascii="Times New Roman" w:hAnsi="Times New Roman" w:cs="Times New Roman"/>
                <w:sz w:val="24"/>
                <w:szCs w:val="24"/>
              </w:rPr>
            </w:pPr>
            <w:r>
              <w:rPr>
                <w:rFonts w:ascii="Times New Roman" w:hAnsi="Times New Roman" w:cs="Times New Roman"/>
                <w:sz w:val="24"/>
                <w:szCs w:val="24"/>
              </w:rPr>
              <w:t>SOM</w:t>
            </w:r>
            <w:r w:rsidR="002F3126">
              <w:rPr>
                <w:rFonts w:ascii="Times New Roman" w:hAnsi="Times New Roman" w:cs="Times New Roman"/>
                <w:sz w:val="24"/>
                <w:szCs w:val="24"/>
              </w:rPr>
              <w:t xml:space="preserve"> otsustas</w:t>
            </w:r>
            <w:r>
              <w:rPr>
                <w:rFonts w:ascii="Times New Roman" w:hAnsi="Times New Roman" w:cs="Times New Roman"/>
                <w:sz w:val="24"/>
                <w:szCs w:val="24"/>
              </w:rPr>
              <w:t xml:space="preserve"> koosta</w:t>
            </w:r>
            <w:r w:rsidR="002F3126">
              <w:rPr>
                <w:rFonts w:ascii="Times New Roman" w:hAnsi="Times New Roman" w:cs="Times New Roman"/>
                <w:sz w:val="24"/>
                <w:szCs w:val="24"/>
              </w:rPr>
              <w:t>da</w:t>
            </w:r>
            <w:r>
              <w:rPr>
                <w:rFonts w:ascii="Times New Roman" w:hAnsi="Times New Roman" w:cs="Times New Roman"/>
                <w:sz w:val="24"/>
                <w:szCs w:val="24"/>
              </w:rPr>
              <w:t xml:space="preserve"> e</w:t>
            </w:r>
            <w:r w:rsidR="002F3126">
              <w:rPr>
                <w:rFonts w:ascii="Times New Roman" w:hAnsi="Times New Roman" w:cs="Times New Roman"/>
                <w:sz w:val="24"/>
                <w:szCs w:val="24"/>
              </w:rPr>
              <w:t>raldi</w:t>
            </w:r>
            <w:r>
              <w:rPr>
                <w:rFonts w:ascii="Times New Roman" w:hAnsi="Times New Roman" w:cs="Times New Roman"/>
                <w:sz w:val="24"/>
                <w:szCs w:val="24"/>
              </w:rPr>
              <w:t xml:space="preserve"> eelnõu ja lisas sätted sinna.</w:t>
            </w:r>
          </w:p>
        </w:tc>
      </w:tr>
    </w:tbl>
    <w:p w14:paraId="0FEB947C" w14:textId="77777777" w:rsidR="00D218F8" w:rsidRPr="003E3D66" w:rsidRDefault="00D218F8" w:rsidP="00D218F8">
      <w:pPr>
        <w:spacing w:after="0" w:line="240" w:lineRule="auto"/>
        <w:jc w:val="both"/>
        <w:rPr>
          <w:rFonts w:ascii="Times New Roman" w:hAnsi="Times New Roman" w:cs="Times New Roman"/>
          <w:sz w:val="24"/>
          <w:szCs w:val="24"/>
        </w:rPr>
      </w:pPr>
    </w:p>
    <w:p w14:paraId="35A26179" w14:textId="528ECA71" w:rsidR="7271E2BB" w:rsidRPr="003E3D66" w:rsidRDefault="7271E2BB" w:rsidP="602638AB">
      <w:pPr>
        <w:spacing w:after="0" w:line="240" w:lineRule="auto"/>
        <w:jc w:val="both"/>
        <w:rPr>
          <w:rFonts w:ascii="Times New Roman" w:hAnsi="Times New Roman" w:cs="Times New Roman"/>
          <w:b/>
          <w:bCs/>
          <w:sz w:val="24"/>
          <w:szCs w:val="24"/>
        </w:rPr>
      </w:pPr>
      <w:r w:rsidRPr="003E3D66">
        <w:rPr>
          <w:rFonts w:ascii="Times New Roman" w:hAnsi="Times New Roman" w:cs="Times New Roman"/>
          <w:b/>
          <w:bCs/>
          <w:sz w:val="24"/>
          <w:szCs w:val="24"/>
        </w:rPr>
        <w:t xml:space="preserve">2. </w:t>
      </w:r>
      <w:r w:rsidR="007709D9" w:rsidRPr="003E3D66">
        <w:rPr>
          <w:rFonts w:ascii="Times New Roman" w:hAnsi="Times New Roman" w:cs="Times New Roman"/>
          <w:b/>
          <w:bCs/>
          <w:sz w:val="24"/>
          <w:szCs w:val="24"/>
        </w:rPr>
        <w:t>Rahandusministeerium</w:t>
      </w:r>
    </w:p>
    <w:p w14:paraId="353BB074" w14:textId="71F42BA7" w:rsidR="602638AB" w:rsidRPr="003E3D66" w:rsidRDefault="602638AB" w:rsidP="602638AB">
      <w:pPr>
        <w:spacing w:after="0" w:line="240" w:lineRule="auto"/>
        <w:jc w:val="both"/>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615"/>
        <w:gridCol w:w="6803"/>
        <w:gridCol w:w="2355"/>
        <w:gridCol w:w="4164"/>
      </w:tblGrid>
      <w:tr w:rsidR="602638AB" w:rsidRPr="003E3D66" w14:paraId="7AFBF4A5" w14:textId="77777777" w:rsidTr="602638AB">
        <w:trPr>
          <w:trHeight w:val="300"/>
        </w:trPr>
        <w:tc>
          <w:tcPr>
            <w:tcW w:w="615" w:type="dxa"/>
          </w:tcPr>
          <w:p w14:paraId="5243A3E7" w14:textId="6D3CE9AC" w:rsidR="602638AB" w:rsidRPr="003E3D66" w:rsidRDefault="602638AB" w:rsidP="602638AB">
            <w:pPr>
              <w:jc w:val="both"/>
              <w:rPr>
                <w:rFonts w:ascii="Times New Roman" w:hAnsi="Times New Roman" w:cs="Times New Roman"/>
                <w:sz w:val="24"/>
                <w:szCs w:val="24"/>
              </w:rPr>
            </w:pPr>
            <w:r w:rsidRPr="003E3D66">
              <w:rPr>
                <w:rFonts w:ascii="Times New Roman" w:hAnsi="Times New Roman" w:cs="Times New Roman"/>
                <w:b/>
                <w:bCs/>
                <w:sz w:val="24"/>
                <w:szCs w:val="24"/>
              </w:rPr>
              <w:t>Jrk nr</w:t>
            </w:r>
          </w:p>
        </w:tc>
        <w:tc>
          <w:tcPr>
            <w:tcW w:w="6803" w:type="dxa"/>
          </w:tcPr>
          <w:p w14:paraId="30AB14B3" w14:textId="54DD6E3C" w:rsidR="602638AB" w:rsidRPr="003E3D66" w:rsidRDefault="602638AB" w:rsidP="602638AB">
            <w:pPr>
              <w:jc w:val="both"/>
              <w:rPr>
                <w:rFonts w:ascii="Times New Roman" w:hAnsi="Times New Roman" w:cs="Times New Roman"/>
                <w:sz w:val="24"/>
                <w:szCs w:val="24"/>
              </w:rPr>
            </w:pPr>
            <w:r w:rsidRPr="003E3D66">
              <w:rPr>
                <w:rFonts w:ascii="Times New Roman" w:hAnsi="Times New Roman" w:cs="Times New Roman"/>
                <w:b/>
                <w:bCs/>
                <w:sz w:val="24"/>
                <w:szCs w:val="24"/>
              </w:rPr>
              <w:t>Ettepaneku/märkuse sisu</w:t>
            </w:r>
          </w:p>
        </w:tc>
        <w:tc>
          <w:tcPr>
            <w:tcW w:w="2355" w:type="dxa"/>
          </w:tcPr>
          <w:p w14:paraId="36CCB7AE" w14:textId="4DDACC49" w:rsidR="602638AB" w:rsidRPr="003E3D66" w:rsidRDefault="602638AB" w:rsidP="602638AB">
            <w:pPr>
              <w:jc w:val="both"/>
              <w:rPr>
                <w:rFonts w:ascii="Times New Roman" w:hAnsi="Times New Roman" w:cs="Times New Roman"/>
                <w:sz w:val="24"/>
                <w:szCs w:val="24"/>
              </w:rPr>
            </w:pPr>
            <w:r w:rsidRPr="003E3D66">
              <w:rPr>
                <w:rFonts w:ascii="Times New Roman" w:hAnsi="Times New Roman" w:cs="Times New Roman"/>
                <w:b/>
                <w:bCs/>
                <w:sz w:val="24"/>
                <w:szCs w:val="24"/>
              </w:rPr>
              <w:t>Arvestatud/ mittearvestatud</w:t>
            </w:r>
          </w:p>
        </w:tc>
        <w:tc>
          <w:tcPr>
            <w:tcW w:w="4164" w:type="dxa"/>
          </w:tcPr>
          <w:p w14:paraId="45235888" w14:textId="5DDBFA37" w:rsidR="602638AB" w:rsidRPr="003E3D66" w:rsidRDefault="602638AB" w:rsidP="602638AB">
            <w:pPr>
              <w:jc w:val="both"/>
              <w:rPr>
                <w:rFonts w:ascii="Times New Roman" w:hAnsi="Times New Roman" w:cs="Times New Roman"/>
                <w:sz w:val="24"/>
                <w:szCs w:val="24"/>
              </w:rPr>
            </w:pPr>
            <w:r w:rsidRPr="003E3D66">
              <w:rPr>
                <w:rFonts w:ascii="Times New Roman" w:hAnsi="Times New Roman" w:cs="Times New Roman"/>
                <w:b/>
                <w:bCs/>
                <w:sz w:val="24"/>
                <w:szCs w:val="24"/>
              </w:rPr>
              <w:t>Kommentaarid</w:t>
            </w:r>
          </w:p>
        </w:tc>
      </w:tr>
      <w:tr w:rsidR="602638AB" w:rsidRPr="003E3D66" w14:paraId="61CEABCF" w14:textId="77777777" w:rsidTr="602638AB">
        <w:trPr>
          <w:trHeight w:val="300"/>
        </w:trPr>
        <w:tc>
          <w:tcPr>
            <w:tcW w:w="615" w:type="dxa"/>
          </w:tcPr>
          <w:p w14:paraId="2C402339" w14:textId="29382574" w:rsidR="0D8FBA32" w:rsidRPr="003E3D66" w:rsidRDefault="0D8FBA32" w:rsidP="602638AB">
            <w:pPr>
              <w:jc w:val="both"/>
              <w:rPr>
                <w:rFonts w:ascii="Times New Roman" w:hAnsi="Times New Roman" w:cs="Times New Roman"/>
                <w:sz w:val="24"/>
                <w:szCs w:val="24"/>
              </w:rPr>
            </w:pPr>
            <w:r w:rsidRPr="003E3D66">
              <w:rPr>
                <w:rFonts w:ascii="Times New Roman" w:hAnsi="Times New Roman" w:cs="Times New Roman"/>
                <w:sz w:val="24"/>
                <w:szCs w:val="24"/>
              </w:rPr>
              <w:t>1</w:t>
            </w:r>
          </w:p>
        </w:tc>
        <w:tc>
          <w:tcPr>
            <w:tcW w:w="6803" w:type="dxa"/>
          </w:tcPr>
          <w:p w14:paraId="1DDCDB98" w14:textId="77777777" w:rsidR="00394BBD"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 xml:space="preserve">Rahandusministeerium kooskõlastab atmosfääriõhu kaitse seaduse ja karistusregistri seaduse muutmise seaduse eelnõu järgmiste märkustega.  </w:t>
            </w:r>
          </w:p>
          <w:p w14:paraId="40272761" w14:textId="15D16A04" w:rsidR="0D8FBA32"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 xml:space="preserve">Eelnõu § 1 punktid 11–13 panevad ettevõtjatele info esitamise kohustuse, mis tugineb EL määrusest tulenevatele nõuetele. Palun </w:t>
            </w:r>
            <w:r w:rsidRPr="003E3D66">
              <w:rPr>
                <w:rFonts w:ascii="Times New Roman" w:hAnsi="Times New Roman" w:cs="Times New Roman"/>
                <w:sz w:val="24"/>
                <w:szCs w:val="24"/>
              </w:rPr>
              <w:lastRenderedPageBreak/>
              <w:t>lisage seletuskirja info FOKA registrisse sisestamise eesmärgi kohta ja kuidas riik neid andmeid kasutama hakkab.</w:t>
            </w:r>
          </w:p>
        </w:tc>
        <w:tc>
          <w:tcPr>
            <w:tcW w:w="2355" w:type="dxa"/>
          </w:tcPr>
          <w:p w14:paraId="12761F3E" w14:textId="6570C76B" w:rsidR="602638AB" w:rsidRPr="003E3D66" w:rsidRDefault="00FF2269" w:rsidP="602638AB">
            <w:pPr>
              <w:jc w:val="both"/>
              <w:rPr>
                <w:rFonts w:ascii="Times New Roman" w:hAnsi="Times New Roman" w:cs="Times New Roman"/>
                <w:sz w:val="24"/>
                <w:szCs w:val="24"/>
              </w:rPr>
            </w:pPr>
            <w:r w:rsidRPr="003E3D66">
              <w:rPr>
                <w:rFonts w:ascii="Times New Roman" w:hAnsi="Times New Roman" w:cs="Times New Roman"/>
                <w:sz w:val="24"/>
                <w:szCs w:val="24"/>
              </w:rPr>
              <w:lastRenderedPageBreak/>
              <w:t>Arvestatud</w:t>
            </w:r>
          </w:p>
        </w:tc>
        <w:tc>
          <w:tcPr>
            <w:tcW w:w="4164" w:type="dxa"/>
          </w:tcPr>
          <w:p w14:paraId="42943F23" w14:textId="6EED1643" w:rsidR="0082100C" w:rsidRPr="003E3D66" w:rsidRDefault="00807DFB" w:rsidP="0082100C">
            <w:pPr>
              <w:ind w:right="6"/>
              <w:jc w:val="both"/>
              <w:rPr>
                <w:rFonts w:ascii="Times New Roman" w:hAnsi="Times New Roman" w:cs="Times New Roman"/>
                <w:sz w:val="24"/>
                <w:szCs w:val="24"/>
              </w:rPr>
            </w:pPr>
            <w:r>
              <w:rPr>
                <w:rFonts w:ascii="Times New Roman" w:hAnsi="Times New Roman" w:cs="Times New Roman"/>
                <w:sz w:val="24"/>
                <w:szCs w:val="24"/>
              </w:rPr>
              <w:t>S</w:t>
            </w:r>
            <w:r w:rsidR="00FF2269" w:rsidRPr="003E3D66">
              <w:rPr>
                <w:rFonts w:ascii="Times New Roman" w:hAnsi="Times New Roman" w:cs="Times New Roman"/>
                <w:sz w:val="24"/>
                <w:szCs w:val="24"/>
              </w:rPr>
              <w:t>eletuskirja</w:t>
            </w:r>
            <w:r>
              <w:rPr>
                <w:rFonts w:ascii="Times New Roman" w:hAnsi="Times New Roman" w:cs="Times New Roman"/>
                <w:sz w:val="24"/>
                <w:szCs w:val="24"/>
              </w:rPr>
              <w:t xml:space="preserve"> täiendatud järgmiselt</w:t>
            </w:r>
            <w:r w:rsidR="00FF2269" w:rsidRPr="003E3D66">
              <w:rPr>
                <w:rFonts w:ascii="Times New Roman" w:hAnsi="Times New Roman" w:cs="Times New Roman"/>
                <w:sz w:val="24"/>
                <w:szCs w:val="24"/>
              </w:rPr>
              <w:t>: HFO-de koguseid ja neid sisaldavate seadmete lekkemäärasid ja hooldustoiminguid arvestatakse fluoritud kasvuhoonegaaside inventuuris.</w:t>
            </w:r>
            <w:r w:rsidR="0082100C" w:rsidRPr="003E3D66">
              <w:rPr>
                <w:rFonts w:ascii="Times New Roman" w:hAnsi="Times New Roman" w:cs="Times New Roman"/>
                <w:sz w:val="24"/>
                <w:szCs w:val="24"/>
              </w:rPr>
              <w:t xml:space="preserve"> Lisaks kasutatakse FOKA registri andmeid </w:t>
            </w:r>
            <w:r w:rsidR="0082100C" w:rsidRPr="003E3D66">
              <w:rPr>
                <w:rFonts w:ascii="Times New Roman" w:hAnsi="Times New Roman" w:cs="Times New Roman"/>
                <w:sz w:val="24"/>
                <w:szCs w:val="24"/>
              </w:rPr>
              <w:lastRenderedPageBreak/>
              <w:t>järelevalves ja riskianalüüside koostamisel.</w:t>
            </w:r>
          </w:p>
          <w:p w14:paraId="6AB10B91" w14:textId="4C46ED18" w:rsidR="00FF2269" w:rsidRPr="003E3D66" w:rsidRDefault="00FF2269" w:rsidP="00FF2269">
            <w:pPr>
              <w:ind w:right="6"/>
              <w:jc w:val="both"/>
              <w:rPr>
                <w:rFonts w:ascii="Times New Roman" w:hAnsi="Times New Roman" w:cs="Times New Roman"/>
                <w:sz w:val="24"/>
                <w:szCs w:val="24"/>
              </w:rPr>
            </w:pPr>
          </w:p>
          <w:p w14:paraId="53550DE6" w14:textId="4E393D7C" w:rsidR="602638AB" w:rsidRPr="003E3D66" w:rsidRDefault="00FF2269" w:rsidP="602638AB">
            <w:pPr>
              <w:jc w:val="both"/>
              <w:rPr>
                <w:rFonts w:ascii="Times New Roman" w:hAnsi="Times New Roman" w:cs="Times New Roman"/>
                <w:sz w:val="24"/>
                <w:szCs w:val="24"/>
              </w:rPr>
            </w:pPr>
            <w:r w:rsidRPr="003E3D66">
              <w:rPr>
                <w:rFonts w:ascii="Times New Roman" w:hAnsi="Times New Roman" w:cs="Times New Roman"/>
                <w:sz w:val="24"/>
                <w:szCs w:val="24"/>
              </w:rPr>
              <w:t>Uus kohustus on registreerida HFO-sid sisaldavaid seadmeid ja nende hooldustoiminguid, muus osas on kohustused samad, kui kehtivas redaktsioonis.</w:t>
            </w:r>
          </w:p>
        </w:tc>
      </w:tr>
      <w:tr w:rsidR="007709D9" w:rsidRPr="003E3D66" w14:paraId="725772D6" w14:textId="77777777" w:rsidTr="602638AB">
        <w:trPr>
          <w:trHeight w:val="300"/>
        </w:trPr>
        <w:tc>
          <w:tcPr>
            <w:tcW w:w="615" w:type="dxa"/>
          </w:tcPr>
          <w:p w14:paraId="6A122D6D" w14:textId="1FDD725B"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lastRenderedPageBreak/>
              <w:t>2</w:t>
            </w:r>
          </w:p>
        </w:tc>
        <w:tc>
          <w:tcPr>
            <w:tcW w:w="6803" w:type="dxa"/>
          </w:tcPr>
          <w:p w14:paraId="5665A4E9" w14:textId="5CD43BA0"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Eelnõu § 1 punkti 14 selgitustes on märgitud, et kasvuhoonegaase sisaldavate lahustite kutsetunnistusi teadaolevalt ei väljastata – palume täpsustada, mis on selle selgituse eesmärk. Kas kasvuhoonegaase sisaldavate lahustite kutsetunnistuste väljastamine on reguleeritud Euroopa Komisjoni viidatud rakendusmääruses, kuid selliste kutsetunnistuste väljastamist Eestis ette ei nähta või on silmas peetud, et viite muutmisega uuele Euroopa Komisjoni rakendusmäärusele avaneb võimalus ka selliste kutsetunnistuste väljastamiseks? Sama tähelepanek ka eelnõu § 1 punkti 15 ja kasvuhoonegaase sisaldavate elektrijaotlate kutsetunnistuste kohta. Jääb selgusetuks, et milline on käitumisjuhis selliste kutsetunnistuste väljastamise soovi korral.</w:t>
            </w:r>
          </w:p>
        </w:tc>
        <w:tc>
          <w:tcPr>
            <w:tcW w:w="2355" w:type="dxa"/>
          </w:tcPr>
          <w:p w14:paraId="14745138" w14:textId="36DFCA80" w:rsidR="007709D9" w:rsidRPr="003E3D66" w:rsidRDefault="00540909" w:rsidP="602638AB">
            <w:pPr>
              <w:jc w:val="both"/>
              <w:rPr>
                <w:rFonts w:ascii="Times New Roman" w:hAnsi="Times New Roman" w:cs="Times New Roman"/>
                <w:sz w:val="24"/>
                <w:szCs w:val="24"/>
              </w:rPr>
            </w:pPr>
            <w:r w:rsidRPr="003E3D66">
              <w:rPr>
                <w:rFonts w:ascii="Times New Roman" w:hAnsi="Times New Roman" w:cs="Times New Roman"/>
                <w:sz w:val="24"/>
                <w:szCs w:val="24"/>
              </w:rPr>
              <w:t>Arvestatud</w:t>
            </w:r>
          </w:p>
        </w:tc>
        <w:tc>
          <w:tcPr>
            <w:tcW w:w="4164" w:type="dxa"/>
          </w:tcPr>
          <w:p w14:paraId="35A34623" w14:textId="455B2389" w:rsidR="00540909" w:rsidRPr="003E3D66" w:rsidRDefault="00540909" w:rsidP="00540909">
            <w:pPr>
              <w:jc w:val="both"/>
              <w:rPr>
                <w:rFonts w:ascii="Times New Roman" w:hAnsi="Times New Roman" w:cs="Times New Roman"/>
                <w:sz w:val="24"/>
                <w:szCs w:val="24"/>
              </w:rPr>
            </w:pPr>
            <w:r w:rsidRPr="003E3D66">
              <w:rPr>
                <w:rFonts w:ascii="Times New Roman" w:hAnsi="Times New Roman" w:cs="Times New Roman"/>
                <w:sz w:val="24"/>
                <w:szCs w:val="24"/>
              </w:rPr>
              <w:t xml:space="preserve">Nii fluoritud kasvuhoonegaase sisaldavate lahustitega kui ka elektrijaotlatega tegutsevad isikud peavad olema pädevad vastavalt eelnõu punktides toodud rakendusmäärustele. Hetkel aga Eestis neid kahte kutset ei anta. Lahustite kasutus puudub täielikult ning elektrijaotlate hooldajad saavad pädevuse teistes EL liikmesriikides. Sellist olukorda lubab ka Euroopa Parlamendi ja nõukogu määrus 2024/573 artikkel 10 paragrahv 13: </w:t>
            </w:r>
          </w:p>
          <w:p w14:paraId="63EB2304" w14:textId="77777777" w:rsidR="007709D9" w:rsidRPr="003E3D66" w:rsidRDefault="00540909" w:rsidP="00540909">
            <w:pPr>
              <w:jc w:val="both"/>
              <w:rPr>
                <w:rFonts w:ascii="Times New Roman" w:hAnsi="Times New Roman" w:cs="Times New Roman"/>
                <w:i/>
                <w:iCs/>
                <w:sz w:val="24"/>
                <w:szCs w:val="24"/>
              </w:rPr>
            </w:pPr>
            <w:r w:rsidRPr="003E3D66">
              <w:rPr>
                <w:rFonts w:ascii="Times New Roman" w:hAnsi="Times New Roman" w:cs="Times New Roman"/>
                <w:i/>
                <w:iCs/>
                <w:sz w:val="24"/>
                <w:szCs w:val="24"/>
              </w:rPr>
              <w:t>Kui käesolevas artiklis sätestatud sertifitseerimise ja koolituse kohustused panevad liikmesriigile ebaproportsionaalselt suure koormuse, mis tuleneb tema väikesest rahvaarvust ja seega nõudluse puudumisest sellise sertifitseerimise ja koolituse järele, võib nõuetele vastavuse saavutada teistes liikmesriikides välja antud sertifikaatide ja tunnistuste tunnustamisega.</w:t>
            </w:r>
          </w:p>
          <w:p w14:paraId="34B7675F" w14:textId="6CE3EB7A" w:rsidR="00540909" w:rsidRPr="003E3D66" w:rsidRDefault="00540909" w:rsidP="00540909">
            <w:pPr>
              <w:jc w:val="both"/>
              <w:rPr>
                <w:rFonts w:ascii="Times New Roman" w:hAnsi="Times New Roman" w:cs="Times New Roman"/>
                <w:i/>
                <w:iCs/>
                <w:sz w:val="24"/>
                <w:szCs w:val="24"/>
              </w:rPr>
            </w:pPr>
            <w:r w:rsidRPr="003E3D66">
              <w:rPr>
                <w:rFonts w:ascii="Times New Roman" w:hAnsi="Times New Roman" w:cs="Times New Roman"/>
                <w:sz w:val="24"/>
                <w:szCs w:val="24"/>
              </w:rPr>
              <w:t xml:space="preserve">Seletuskirja punktidesse 14 ja 15 lisatud lause: </w:t>
            </w:r>
            <w:r w:rsidRPr="003E3D66">
              <w:rPr>
                <w:rFonts w:ascii="Times New Roman" w:hAnsi="Times New Roman" w:cs="Times New Roman"/>
                <w:i/>
                <w:iCs/>
                <w:sz w:val="24"/>
                <w:szCs w:val="24"/>
              </w:rPr>
              <w:t xml:space="preserve">Isikud, kes tegelevad fluoritud </w:t>
            </w:r>
            <w:r w:rsidRPr="003E3D66">
              <w:rPr>
                <w:rFonts w:ascii="Times New Roman" w:hAnsi="Times New Roman" w:cs="Times New Roman"/>
                <w:i/>
                <w:iCs/>
                <w:sz w:val="24"/>
                <w:szCs w:val="24"/>
              </w:rPr>
              <w:lastRenderedPageBreak/>
              <w:t>kasvuhoonegaaside käitlemisega peavad omama käesoleva paragrahvi lõikes 2 nimetatud Euroopa Komisjoni määruste kohast töötaja sertifikaati või kutse- või osakutsetunnistust.</w:t>
            </w:r>
          </w:p>
          <w:p w14:paraId="4D5C8B43" w14:textId="16593F79" w:rsidR="00540909" w:rsidRPr="003E3D66" w:rsidRDefault="00540909" w:rsidP="00540909">
            <w:pPr>
              <w:jc w:val="both"/>
              <w:rPr>
                <w:rFonts w:ascii="Times New Roman" w:hAnsi="Times New Roman" w:cs="Times New Roman"/>
                <w:sz w:val="24"/>
                <w:szCs w:val="24"/>
              </w:rPr>
            </w:pPr>
          </w:p>
        </w:tc>
      </w:tr>
      <w:tr w:rsidR="007709D9" w:rsidRPr="003E3D66" w14:paraId="0786FC13" w14:textId="77777777" w:rsidTr="602638AB">
        <w:trPr>
          <w:trHeight w:val="300"/>
        </w:trPr>
        <w:tc>
          <w:tcPr>
            <w:tcW w:w="615" w:type="dxa"/>
          </w:tcPr>
          <w:p w14:paraId="36EF400E" w14:textId="4508E7B2"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lastRenderedPageBreak/>
              <w:t>3</w:t>
            </w:r>
          </w:p>
        </w:tc>
        <w:tc>
          <w:tcPr>
            <w:tcW w:w="6803" w:type="dxa"/>
          </w:tcPr>
          <w:p w14:paraId="13791901" w14:textId="5852F1D1"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Palume täpsustada eelnõu seletuskirjas § 1 punkti 17 selgitustes, kes on käitlemisluba menetlev asutus (eelnevalt nimetatud nii Külmaliit kui Keskkonnaamet)</w:t>
            </w:r>
          </w:p>
        </w:tc>
        <w:tc>
          <w:tcPr>
            <w:tcW w:w="2355" w:type="dxa"/>
          </w:tcPr>
          <w:p w14:paraId="27C0EC85" w14:textId="73C4F4E3" w:rsidR="007709D9" w:rsidRPr="003E3D66" w:rsidRDefault="005E176B" w:rsidP="602638AB">
            <w:pPr>
              <w:jc w:val="both"/>
              <w:rPr>
                <w:rFonts w:ascii="Times New Roman" w:hAnsi="Times New Roman" w:cs="Times New Roman"/>
                <w:sz w:val="24"/>
                <w:szCs w:val="24"/>
              </w:rPr>
            </w:pPr>
            <w:r w:rsidRPr="003E3D66">
              <w:rPr>
                <w:rFonts w:ascii="Times New Roman" w:hAnsi="Times New Roman" w:cs="Times New Roman"/>
                <w:sz w:val="24"/>
                <w:szCs w:val="24"/>
              </w:rPr>
              <w:t>Arvestatud</w:t>
            </w:r>
          </w:p>
        </w:tc>
        <w:tc>
          <w:tcPr>
            <w:tcW w:w="4164" w:type="dxa"/>
          </w:tcPr>
          <w:p w14:paraId="1BF5D357" w14:textId="77777777" w:rsidR="005E176B" w:rsidRPr="003E3D66" w:rsidRDefault="005E176B" w:rsidP="005E176B">
            <w:pPr>
              <w:spacing w:after="31"/>
              <w:ind w:right="6"/>
              <w:jc w:val="both"/>
              <w:rPr>
                <w:rFonts w:ascii="Times New Roman" w:hAnsi="Times New Roman" w:cs="Times New Roman"/>
                <w:sz w:val="24"/>
                <w:szCs w:val="24"/>
              </w:rPr>
            </w:pPr>
            <w:r w:rsidRPr="003E3D66">
              <w:rPr>
                <w:rFonts w:ascii="Times New Roman" w:hAnsi="Times New Roman" w:cs="Times New Roman"/>
                <w:sz w:val="24"/>
                <w:szCs w:val="24"/>
              </w:rPr>
              <w:t xml:space="preserve">Seletuskirja punkti 17 lisatud lause: </w:t>
            </w:r>
            <w:r w:rsidRPr="003E3D66">
              <w:rPr>
                <w:rFonts w:ascii="Times New Roman" w:hAnsi="Times New Roman" w:cs="Times New Roman"/>
                <w:i/>
                <w:iCs/>
                <w:sz w:val="24"/>
                <w:szCs w:val="24"/>
              </w:rPr>
              <w:t>Käitlemisloa annab Keskkonnaamet.</w:t>
            </w:r>
          </w:p>
          <w:p w14:paraId="2F3E63CA" w14:textId="40B98307" w:rsidR="007709D9" w:rsidRPr="003E3D66" w:rsidRDefault="007709D9" w:rsidP="602638AB">
            <w:pPr>
              <w:jc w:val="both"/>
              <w:rPr>
                <w:rFonts w:ascii="Times New Roman" w:hAnsi="Times New Roman" w:cs="Times New Roman"/>
                <w:sz w:val="24"/>
                <w:szCs w:val="24"/>
              </w:rPr>
            </w:pPr>
          </w:p>
        </w:tc>
      </w:tr>
      <w:tr w:rsidR="007709D9" w:rsidRPr="003E3D66" w14:paraId="33E4DA0D" w14:textId="77777777" w:rsidTr="602638AB">
        <w:trPr>
          <w:trHeight w:val="300"/>
        </w:trPr>
        <w:tc>
          <w:tcPr>
            <w:tcW w:w="615" w:type="dxa"/>
          </w:tcPr>
          <w:p w14:paraId="4DCC3C94" w14:textId="3A2EF90E"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4</w:t>
            </w:r>
          </w:p>
        </w:tc>
        <w:tc>
          <w:tcPr>
            <w:tcW w:w="6803" w:type="dxa"/>
          </w:tcPr>
          <w:p w14:paraId="2F3CC96A" w14:textId="0387287F"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Palume eelnõu § 1 punkti 23 puhul kaaluda, kas uute andmete esitamist on võimalik ettevõtete jaoks integreerida olemasolevasse aruandlusesse, et vähendada lisakohustusest tingitud töökoormuse kasvu ettevõtte jaoks</w:t>
            </w:r>
          </w:p>
        </w:tc>
        <w:tc>
          <w:tcPr>
            <w:tcW w:w="2355" w:type="dxa"/>
          </w:tcPr>
          <w:p w14:paraId="4A07C492" w14:textId="03D799F0" w:rsidR="007709D9" w:rsidRPr="003E3D66" w:rsidRDefault="005E176B" w:rsidP="602638AB">
            <w:pPr>
              <w:jc w:val="both"/>
              <w:rPr>
                <w:rFonts w:ascii="Times New Roman" w:hAnsi="Times New Roman" w:cs="Times New Roman"/>
                <w:sz w:val="24"/>
                <w:szCs w:val="24"/>
              </w:rPr>
            </w:pPr>
            <w:r w:rsidRPr="003E3D66">
              <w:rPr>
                <w:rFonts w:ascii="Times New Roman" w:hAnsi="Times New Roman" w:cs="Times New Roman"/>
                <w:sz w:val="24"/>
                <w:szCs w:val="24"/>
              </w:rPr>
              <w:t>Mitte arvestatud</w:t>
            </w:r>
          </w:p>
        </w:tc>
        <w:tc>
          <w:tcPr>
            <w:tcW w:w="4164" w:type="dxa"/>
          </w:tcPr>
          <w:p w14:paraId="270CDF72" w14:textId="488882BC" w:rsidR="007709D9" w:rsidRPr="003E3D66" w:rsidRDefault="005E176B" w:rsidP="00513CED">
            <w:pPr>
              <w:jc w:val="both"/>
              <w:rPr>
                <w:rFonts w:ascii="Times New Roman" w:hAnsi="Times New Roman" w:cs="Times New Roman"/>
                <w:sz w:val="24"/>
                <w:szCs w:val="24"/>
              </w:rPr>
            </w:pPr>
            <w:r w:rsidRPr="003E3D66">
              <w:rPr>
                <w:rFonts w:ascii="Times New Roman" w:hAnsi="Times New Roman" w:cs="Times New Roman"/>
                <w:sz w:val="24"/>
                <w:szCs w:val="24"/>
              </w:rPr>
              <w:t>Ettevõtted esitavad nimetatud andmeid ka praegu vabatahtlikkuse alusel.</w:t>
            </w:r>
            <w:r w:rsidR="005D2719" w:rsidRPr="003E3D66">
              <w:rPr>
                <w:rFonts w:ascii="Times New Roman" w:hAnsi="Times New Roman" w:cs="Times New Roman"/>
                <w:sz w:val="24"/>
                <w:szCs w:val="24"/>
              </w:rPr>
              <w:t xml:space="preserve"> </w:t>
            </w:r>
            <w:r w:rsidR="001231E6" w:rsidRPr="003E3D66">
              <w:rPr>
                <w:rFonts w:ascii="Times New Roman" w:hAnsi="Times New Roman" w:cs="Times New Roman"/>
                <w:sz w:val="24"/>
                <w:szCs w:val="24"/>
              </w:rPr>
              <w:t>Halduskoormuse taseme piiramiseks</w:t>
            </w:r>
            <w:r w:rsidR="005D2719" w:rsidRPr="003E3D66">
              <w:rPr>
                <w:rFonts w:ascii="Times New Roman" w:hAnsi="Times New Roman" w:cs="Times New Roman"/>
                <w:sz w:val="24"/>
                <w:szCs w:val="24"/>
              </w:rPr>
              <w:t xml:space="preserve"> kogutakse  elektrijaotlate valdajatelt andmeid üldistatud kujul (</w:t>
            </w:r>
            <w:r w:rsidR="00A346FC" w:rsidRPr="003E3D66">
              <w:rPr>
                <w:rFonts w:ascii="Times New Roman" w:hAnsi="Times New Roman" w:cs="Times New Roman"/>
                <w:sz w:val="24"/>
                <w:szCs w:val="24"/>
              </w:rPr>
              <w:t xml:space="preserve">iga omaniku valduses olevates </w:t>
            </w:r>
            <w:r w:rsidR="005D2719" w:rsidRPr="003E3D66">
              <w:rPr>
                <w:rFonts w:ascii="Times New Roman" w:hAnsi="Times New Roman" w:cs="Times New Roman"/>
                <w:sz w:val="24"/>
                <w:szCs w:val="24"/>
              </w:rPr>
              <w:t xml:space="preserve">seadmetes paiknev </w:t>
            </w:r>
            <w:r w:rsidR="00A346FC" w:rsidRPr="003E3D66">
              <w:rPr>
                <w:rFonts w:ascii="Times New Roman" w:hAnsi="Times New Roman" w:cs="Times New Roman"/>
                <w:sz w:val="24"/>
                <w:szCs w:val="24"/>
              </w:rPr>
              <w:t xml:space="preserve">SF6 </w:t>
            </w:r>
            <w:r w:rsidR="005D2719" w:rsidRPr="003E3D66">
              <w:rPr>
                <w:rFonts w:ascii="Times New Roman" w:hAnsi="Times New Roman" w:cs="Times New Roman"/>
                <w:sz w:val="24"/>
                <w:szCs w:val="24"/>
              </w:rPr>
              <w:t>üldkogus, lekked jne</w:t>
            </w:r>
            <w:r w:rsidR="00A346FC" w:rsidRPr="003E3D66">
              <w:rPr>
                <w:rFonts w:ascii="Times New Roman" w:hAnsi="Times New Roman" w:cs="Times New Roman"/>
                <w:sz w:val="24"/>
                <w:szCs w:val="24"/>
              </w:rPr>
              <w:t>, seadmete kaupa ei ole plaanis andmeid koguda</w:t>
            </w:r>
            <w:r w:rsidR="005D2719" w:rsidRPr="003E3D66">
              <w:rPr>
                <w:rFonts w:ascii="Times New Roman" w:hAnsi="Times New Roman" w:cs="Times New Roman"/>
                <w:sz w:val="24"/>
                <w:szCs w:val="24"/>
              </w:rPr>
              <w:t>)</w:t>
            </w:r>
            <w:r w:rsidRPr="003E3D66">
              <w:rPr>
                <w:rFonts w:ascii="Times New Roman" w:hAnsi="Times New Roman" w:cs="Times New Roman"/>
                <w:sz w:val="24"/>
                <w:szCs w:val="24"/>
              </w:rPr>
              <w:t xml:space="preserve"> Väävelheksafluoriid on väga suure kliima</w:t>
            </w:r>
            <w:r w:rsidR="00A346FC" w:rsidRPr="003E3D66">
              <w:rPr>
                <w:rFonts w:ascii="Times New Roman" w:hAnsi="Times New Roman" w:cs="Times New Roman"/>
                <w:sz w:val="24"/>
                <w:szCs w:val="24"/>
              </w:rPr>
              <w:t>-</w:t>
            </w:r>
            <w:r w:rsidRPr="003E3D66">
              <w:rPr>
                <w:rFonts w:ascii="Times New Roman" w:hAnsi="Times New Roman" w:cs="Times New Roman"/>
                <w:sz w:val="24"/>
                <w:szCs w:val="24"/>
              </w:rPr>
              <w:t xml:space="preserve"> mõjuga ja andmete kogumine on vältimatu. Ilma selleta ei ole võimalik jälgida aine kokkukogumise ja atmosfääri paiskumise nõuet.</w:t>
            </w:r>
            <w:r w:rsidR="00A346FC" w:rsidRPr="003E3D66">
              <w:rPr>
                <w:rFonts w:ascii="Times New Roman" w:hAnsi="Times New Roman" w:cs="Times New Roman"/>
                <w:sz w:val="24"/>
                <w:szCs w:val="24"/>
              </w:rPr>
              <w:t xml:space="preserve"> Andmeid kasutatakse ka riikliku kasvuhoonegaaside inventuuri koostamiseks.</w:t>
            </w:r>
          </w:p>
        </w:tc>
      </w:tr>
      <w:tr w:rsidR="007709D9" w:rsidRPr="003E3D66" w14:paraId="2F92AC98" w14:textId="77777777" w:rsidTr="602638AB">
        <w:trPr>
          <w:trHeight w:val="300"/>
        </w:trPr>
        <w:tc>
          <w:tcPr>
            <w:tcW w:w="615" w:type="dxa"/>
          </w:tcPr>
          <w:p w14:paraId="45A85D89" w14:textId="7F792FDF"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5</w:t>
            </w:r>
          </w:p>
        </w:tc>
        <w:tc>
          <w:tcPr>
            <w:tcW w:w="6803" w:type="dxa"/>
          </w:tcPr>
          <w:p w14:paraId="6719291C" w14:textId="19112A75"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Eelnõu § 1 punkti 25 puhul palume täpsustada, millist hanget on sättes silmas peetud. Kui tegemist on riigihangete seaduse kohaldamisalasse jääva riigihanke menetlusega, palume kasutada riigihangete seadusega kooskõlas olevat terminoloogiat.</w:t>
            </w:r>
          </w:p>
        </w:tc>
        <w:tc>
          <w:tcPr>
            <w:tcW w:w="2355" w:type="dxa"/>
          </w:tcPr>
          <w:p w14:paraId="4B4AF6EE" w14:textId="731FCA95" w:rsidR="007709D9" w:rsidRPr="003E3D66" w:rsidRDefault="00153472" w:rsidP="602638AB">
            <w:pPr>
              <w:jc w:val="both"/>
              <w:rPr>
                <w:rFonts w:ascii="Times New Roman" w:hAnsi="Times New Roman" w:cs="Times New Roman"/>
                <w:sz w:val="24"/>
                <w:szCs w:val="24"/>
              </w:rPr>
            </w:pPr>
            <w:r w:rsidRPr="003E3D66">
              <w:rPr>
                <w:rFonts w:ascii="Times New Roman" w:hAnsi="Times New Roman" w:cs="Times New Roman"/>
                <w:sz w:val="24"/>
                <w:szCs w:val="24"/>
              </w:rPr>
              <w:t>Arvestatud</w:t>
            </w:r>
          </w:p>
        </w:tc>
        <w:tc>
          <w:tcPr>
            <w:tcW w:w="4164" w:type="dxa"/>
          </w:tcPr>
          <w:p w14:paraId="15EFE78C" w14:textId="68F3957A" w:rsidR="007709D9" w:rsidRPr="003E3D66" w:rsidRDefault="00153472" w:rsidP="602638AB">
            <w:pPr>
              <w:jc w:val="both"/>
              <w:rPr>
                <w:rFonts w:ascii="Times New Roman" w:hAnsi="Times New Roman" w:cs="Times New Roman"/>
                <w:sz w:val="24"/>
                <w:szCs w:val="24"/>
              </w:rPr>
            </w:pPr>
            <w:r w:rsidRPr="003E3D66">
              <w:rPr>
                <w:rFonts w:ascii="Times New Roman" w:hAnsi="Times New Roman" w:cs="Times New Roman"/>
                <w:sz w:val="24"/>
                <w:szCs w:val="24"/>
              </w:rPr>
              <w:t>Muudetud sõnastusi</w:t>
            </w:r>
            <w:r w:rsidR="003E3D66" w:rsidRPr="003E3D66">
              <w:rPr>
                <w:rFonts w:ascii="Times New Roman" w:hAnsi="Times New Roman" w:cs="Times New Roman"/>
                <w:sz w:val="24"/>
                <w:szCs w:val="24"/>
              </w:rPr>
              <w:t xml:space="preserve"> ja lisatud täpsustus seletuskirja. EL määrus 2024/573 ei täpsusta hanke liiki, seega peab olema võimalik erisust kohaldada nii riigihankel kui ka mitte riigihankel.</w:t>
            </w:r>
            <w:r w:rsidRPr="003E3D66">
              <w:rPr>
                <w:rFonts w:ascii="Times New Roman" w:hAnsi="Times New Roman" w:cs="Times New Roman"/>
                <w:sz w:val="24"/>
                <w:szCs w:val="24"/>
              </w:rPr>
              <w:t xml:space="preserve"> </w:t>
            </w:r>
            <w:r w:rsidR="003E3D66" w:rsidRPr="003E3D66">
              <w:rPr>
                <w:rFonts w:ascii="Times New Roman" w:hAnsi="Times New Roman" w:cs="Times New Roman"/>
                <w:sz w:val="24"/>
                <w:szCs w:val="24"/>
              </w:rPr>
              <w:t>Juhul, kui tegemist on riigihankega, tuleb viidata riigihangete registri toimikule.</w:t>
            </w:r>
          </w:p>
        </w:tc>
      </w:tr>
      <w:tr w:rsidR="007709D9" w:rsidRPr="003E3D66" w14:paraId="27D719B0" w14:textId="77777777" w:rsidTr="602638AB">
        <w:trPr>
          <w:trHeight w:val="300"/>
        </w:trPr>
        <w:tc>
          <w:tcPr>
            <w:tcW w:w="615" w:type="dxa"/>
          </w:tcPr>
          <w:p w14:paraId="677C9EBC" w14:textId="6D7A7F03"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lastRenderedPageBreak/>
              <w:t>6</w:t>
            </w:r>
          </w:p>
        </w:tc>
        <w:tc>
          <w:tcPr>
            <w:tcW w:w="6803" w:type="dxa"/>
          </w:tcPr>
          <w:p w14:paraId="32E28743" w14:textId="34011ED4"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Seletuskirja sissejuhatavas osas on kirjas, et eelnõukohase seaduse rakendamisega ei kaasne olulist õiguslikku muudatust. Sealsamas sätestatakse kohustus turuhinna põhiseks trahvi määramiseks, mis ei ole tavapärane, kui üldse see piisavat õiguskindlust tagab. Samuti seatakse kohustused registritesse info sisestamiseks, täiendavateks järelevalve kontrollideks. Seega see lause ei ole kooskõlas eelnõu sisuga</w:t>
            </w:r>
          </w:p>
        </w:tc>
        <w:tc>
          <w:tcPr>
            <w:tcW w:w="2355" w:type="dxa"/>
          </w:tcPr>
          <w:p w14:paraId="376BDD92" w14:textId="30C43028" w:rsidR="007709D9" w:rsidRPr="003E3D66" w:rsidRDefault="00153472" w:rsidP="602638AB">
            <w:pPr>
              <w:jc w:val="both"/>
              <w:rPr>
                <w:rFonts w:ascii="Times New Roman" w:hAnsi="Times New Roman" w:cs="Times New Roman"/>
                <w:sz w:val="24"/>
                <w:szCs w:val="24"/>
              </w:rPr>
            </w:pPr>
            <w:r w:rsidRPr="003E3D66">
              <w:rPr>
                <w:rFonts w:ascii="Times New Roman" w:hAnsi="Times New Roman" w:cs="Times New Roman"/>
                <w:sz w:val="24"/>
                <w:szCs w:val="24"/>
              </w:rPr>
              <w:t>Arvestatud</w:t>
            </w:r>
          </w:p>
        </w:tc>
        <w:tc>
          <w:tcPr>
            <w:tcW w:w="4164" w:type="dxa"/>
          </w:tcPr>
          <w:p w14:paraId="402007C6" w14:textId="6231DC56" w:rsidR="007709D9" w:rsidRPr="003E3D66" w:rsidRDefault="00FB7554" w:rsidP="602638AB">
            <w:pPr>
              <w:jc w:val="both"/>
              <w:rPr>
                <w:rFonts w:ascii="Times New Roman" w:hAnsi="Times New Roman" w:cs="Times New Roman"/>
                <w:sz w:val="24"/>
                <w:szCs w:val="24"/>
              </w:rPr>
            </w:pPr>
            <w:r>
              <w:rPr>
                <w:rFonts w:ascii="Times New Roman" w:hAnsi="Times New Roman" w:cs="Times New Roman"/>
                <w:sz w:val="24"/>
                <w:szCs w:val="24"/>
              </w:rPr>
              <w:t>Lause eemaldatud.</w:t>
            </w:r>
          </w:p>
        </w:tc>
      </w:tr>
      <w:tr w:rsidR="007709D9" w:rsidRPr="003E3D66" w14:paraId="7D77B376" w14:textId="77777777" w:rsidTr="602638AB">
        <w:trPr>
          <w:trHeight w:val="300"/>
        </w:trPr>
        <w:tc>
          <w:tcPr>
            <w:tcW w:w="615" w:type="dxa"/>
          </w:tcPr>
          <w:p w14:paraId="5BDC2186" w14:textId="50DEDCAE"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7</w:t>
            </w:r>
          </w:p>
        </w:tc>
        <w:tc>
          <w:tcPr>
            <w:tcW w:w="6803" w:type="dxa"/>
          </w:tcPr>
          <w:p w14:paraId="26FEE7ED" w14:textId="7178319A" w:rsidR="007709D9" w:rsidRPr="003E3D66" w:rsidRDefault="007709D9" w:rsidP="602638AB">
            <w:pPr>
              <w:jc w:val="both"/>
              <w:rPr>
                <w:rFonts w:ascii="Times New Roman" w:hAnsi="Times New Roman" w:cs="Times New Roman"/>
                <w:sz w:val="24"/>
                <w:szCs w:val="24"/>
              </w:rPr>
            </w:pPr>
            <w:r w:rsidRPr="003E3D66">
              <w:rPr>
                <w:rFonts w:ascii="Times New Roman" w:hAnsi="Times New Roman" w:cs="Times New Roman"/>
                <w:sz w:val="24"/>
                <w:szCs w:val="24"/>
              </w:rPr>
              <w:t>Palume täiendada eelnõu seletuskirja prognoosiga täiendavast töökoormusest ettevõtjatele, mis tõusetub uuest info esitamise kohustusest. Eelnõus tuuakse välja mõju ettevõtjate halduskoormusele ja ka Keskkonnaameti järelevalvekoormusele. Samas ei tule välja, kui suur eeldatav mõju on ning kas see kaetakse olemasolevate töötajate ja eelarvega (kulude katteallikad). Samuti tuleks hinnata, kas on võimalik täiendav info esitamine integreerida olemasolevasse aruannetesse ja vältida uute kohustuste ja uute süsteemide loomist; tuua välja täpselt, mida ja kuidas täiendavaid andmeid kasutatakse ja miks neid esitada on vaja ning optimeerida vastavalt järelevalve kohustust riigi jaoks. Rahandusministeeriumi hinnangul ei ole praegustes eelarveoludes ja valitsuse püstitatud bürokraatia vähendamise eesmärkide juures uute ametnike lisandumine ja ka olulise lisakoormuse tekitamine ettevõtjatele põhjendatud ning tuleks kaaluda viise, kuidas saaks halduskoormust võimalikult vähe mõjutada ning ka kuidas saaks juba olemasolevaid nõudeid vähendada</w:t>
            </w:r>
          </w:p>
        </w:tc>
        <w:tc>
          <w:tcPr>
            <w:tcW w:w="2355" w:type="dxa"/>
          </w:tcPr>
          <w:p w14:paraId="1C142533" w14:textId="12E65928" w:rsidR="007709D9" w:rsidRPr="003E3D66" w:rsidRDefault="003E3D66" w:rsidP="602638AB">
            <w:pPr>
              <w:jc w:val="both"/>
              <w:rPr>
                <w:rFonts w:ascii="Times New Roman" w:hAnsi="Times New Roman" w:cs="Times New Roman"/>
                <w:sz w:val="24"/>
                <w:szCs w:val="24"/>
              </w:rPr>
            </w:pPr>
            <w:r w:rsidRPr="003E3D66">
              <w:rPr>
                <w:rFonts w:ascii="Times New Roman" w:hAnsi="Times New Roman" w:cs="Times New Roman"/>
                <w:sz w:val="24"/>
                <w:szCs w:val="24"/>
              </w:rPr>
              <w:t>Arvestatud osaliselt</w:t>
            </w:r>
          </w:p>
        </w:tc>
        <w:tc>
          <w:tcPr>
            <w:tcW w:w="4164" w:type="dxa"/>
          </w:tcPr>
          <w:p w14:paraId="1DAFD7D2" w14:textId="79870E03" w:rsidR="00BD1C52" w:rsidRPr="003E3D66" w:rsidRDefault="00BD1C52" w:rsidP="602638AB">
            <w:pPr>
              <w:jc w:val="both"/>
              <w:rPr>
                <w:rFonts w:ascii="Times New Roman" w:hAnsi="Times New Roman" w:cs="Times New Roman"/>
                <w:sz w:val="24"/>
                <w:szCs w:val="24"/>
              </w:rPr>
            </w:pPr>
            <w:r w:rsidRPr="003E3D66">
              <w:rPr>
                <w:rFonts w:ascii="Times New Roman" w:hAnsi="Times New Roman" w:cs="Times New Roman"/>
                <w:sz w:val="24"/>
                <w:szCs w:val="24"/>
              </w:rPr>
              <w:t xml:space="preserve">Eelnõuga ei looda uut andmebaasi </w:t>
            </w:r>
            <w:r w:rsidR="00702F65" w:rsidRPr="003E3D66">
              <w:rPr>
                <w:rFonts w:ascii="Times New Roman" w:hAnsi="Times New Roman" w:cs="Times New Roman"/>
                <w:sz w:val="24"/>
                <w:szCs w:val="24"/>
              </w:rPr>
              <w:t xml:space="preserve">ega </w:t>
            </w:r>
            <w:r w:rsidRPr="003E3D66">
              <w:rPr>
                <w:rFonts w:ascii="Times New Roman" w:hAnsi="Times New Roman" w:cs="Times New Roman"/>
                <w:sz w:val="24"/>
                <w:szCs w:val="24"/>
              </w:rPr>
              <w:t>andmete registreerimise süsteemi. FOKA register on olnud kasutuses alates 2015. aastast</w:t>
            </w:r>
            <w:r w:rsidR="00702F65" w:rsidRPr="003E3D66">
              <w:rPr>
                <w:rFonts w:ascii="Times New Roman" w:hAnsi="Times New Roman" w:cs="Times New Roman"/>
                <w:sz w:val="24"/>
                <w:szCs w:val="24"/>
              </w:rPr>
              <w:t xml:space="preserve"> ning kujutab endast teatud seadmete </w:t>
            </w:r>
            <w:r w:rsidR="006B7ADE" w:rsidRPr="003E3D66">
              <w:rPr>
                <w:rFonts w:ascii="Times New Roman" w:hAnsi="Times New Roman" w:cs="Times New Roman"/>
                <w:sz w:val="24"/>
                <w:szCs w:val="24"/>
              </w:rPr>
              <w:t>elektroonilist</w:t>
            </w:r>
            <w:r w:rsidR="00702F65" w:rsidRPr="003E3D66">
              <w:rPr>
                <w:rFonts w:ascii="Times New Roman" w:hAnsi="Times New Roman" w:cs="Times New Roman"/>
                <w:sz w:val="24"/>
                <w:szCs w:val="24"/>
              </w:rPr>
              <w:t xml:space="preserve"> hoolderaamatut Hoolderaamatu pidamist nõuab EL-i õigus.</w:t>
            </w:r>
            <w:r w:rsidR="000D3D41" w:rsidRPr="003E3D66">
              <w:rPr>
                <w:rFonts w:ascii="Times New Roman" w:hAnsi="Times New Roman" w:cs="Times New Roman"/>
                <w:sz w:val="24"/>
                <w:szCs w:val="24"/>
              </w:rPr>
              <w:t xml:space="preserve"> </w:t>
            </w:r>
          </w:p>
          <w:p w14:paraId="3BA6BA74" w14:textId="77777777" w:rsidR="006B7ADE" w:rsidRPr="003E3D66" w:rsidRDefault="006B7ADE" w:rsidP="602638AB">
            <w:pPr>
              <w:jc w:val="both"/>
              <w:rPr>
                <w:rFonts w:ascii="Times New Roman" w:hAnsi="Times New Roman" w:cs="Times New Roman"/>
                <w:sz w:val="24"/>
                <w:szCs w:val="24"/>
              </w:rPr>
            </w:pPr>
          </w:p>
          <w:p w14:paraId="01392685" w14:textId="77777777" w:rsidR="006B7ADE" w:rsidRPr="003E3D66" w:rsidRDefault="006B7ADE" w:rsidP="006B7ADE">
            <w:pPr>
              <w:jc w:val="both"/>
              <w:rPr>
                <w:rFonts w:ascii="Times New Roman" w:hAnsi="Times New Roman" w:cs="Times New Roman"/>
                <w:sz w:val="24"/>
                <w:szCs w:val="24"/>
              </w:rPr>
            </w:pPr>
            <w:r w:rsidRPr="003E3D66">
              <w:rPr>
                <w:rFonts w:ascii="Times New Roman" w:hAnsi="Times New Roman" w:cs="Times New Roman"/>
                <w:sz w:val="24"/>
                <w:szCs w:val="24"/>
              </w:rPr>
              <w:t>FOKA registrisse HFO-sid sisaldavate seadmete andmete kandmise kohustus suureneb veidi, kuid selle mõju ettevõtetele jääb tagasihoidlikuks, kuna nõue puudutab peamiselt HFO-sid sisaldavaid seadmeid (mida Eestis kasutatakse praegu veel vähe) ning registreerimise kohustus puudutab ainult teatud kindlat tüüpi seadmeid.</w:t>
            </w:r>
          </w:p>
          <w:p w14:paraId="258F5903" w14:textId="2F1D8D4B" w:rsidR="007709D9" w:rsidRPr="003E3D66" w:rsidRDefault="006B7ADE" w:rsidP="602638AB">
            <w:pPr>
              <w:jc w:val="both"/>
              <w:rPr>
                <w:rFonts w:ascii="Times New Roman" w:hAnsi="Times New Roman" w:cs="Times New Roman"/>
                <w:sz w:val="24"/>
                <w:szCs w:val="24"/>
              </w:rPr>
            </w:pPr>
            <w:r w:rsidRPr="003E3D66">
              <w:rPr>
                <w:rFonts w:ascii="Times New Roman" w:hAnsi="Times New Roman" w:cs="Times New Roman"/>
                <w:sz w:val="24"/>
                <w:szCs w:val="24"/>
              </w:rPr>
              <w:t>Kohustus t</w:t>
            </w:r>
            <w:r w:rsidR="001E767E" w:rsidRPr="003E3D66">
              <w:rPr>
                <w:rFonts w:ascii="Times New Roman" w:hAnsi="Times New Roman" w:cs="Times New Roman"/>
                <w:sz w:val="24"/>
                <w:szCs w:val="24"/>
              </w:rPr>
              <w:t>ulene</w:t>
            </w:r>
            <w:r w:rsidRPr="003E3D66">
              <w:rPr>
                <w:rFonts w:ascii="Times New Roman" w:hAnsi="Times New Roman" w:cs="Times New Roman"/>
                <w:sz w:val="24"/>
                <w:szCs w:val="24"/>
              </w:rPr>
              <w:t>b</w:t>
            </w:r>
            <w:r w:rsidR="001E767E" w:rsidRPr="003E3D66">
              <w:rPr>
                <w:rFonts w:ascii="Times New Roman" w:hAnsi="Times New Roman" w:cs="Times New Roman"/>
                <w:sz w:val="24"/>
                <w:szCs w:val="24"/>
              </w:rPr>
              <w:t xml:space="preserve"> EL õigusest ja andmeid peavad ettevõtted säilitama. FOKA registrisse kandmisel saab andmeid kasutada ka riikliku fluoritud kasvuhoonegaaside inventuuri koostamisel (ilma, et peaks suures mahus andmeid ettevõtetelt juurde küsima).</w:t>
            </w:r>
            <w:r w:rsidR="00702F65" w:rsidRPr="003E3D66">
              <w:rPr>
                <w:rFonts w:ascii="Times New Roman" w:hAnsi="Times New Roman" w:cs="Times New Roman"/>
                <w:sz w:val="24"/>
                <w:szCs w:val="24"/>
              </w:rPr>
              <w:t xml:space="preserve"> FOKA registrit kasutatakse </w:t>
            </w:r>
            <w:r w:rsidR="00702F65" w:rsidRPr="003E3D66">
              <w:rPr>
                <w:rFonts w:ascii="Times New Roman" w:hAnsi="Times New Roman" w:cs="Times New Roman"/>
                <w:sz w:val="24"/>
                <w:szCs w:val="24"/>
              </w:rPr>
              <w:lastRenderedPageBreak/>
              <w:t>järelevalveks</w:t>
            </w:r>
            <w:r w:rsidR="003E3D66">
              <w:rPr>
                <w:rFonts w:ascii="Times New Roman" w:hAnsi="Times New Roman" w:cs="Times New Roman"/>
                <w:sz w:val="24"/>
                <w:szCs w:val="24"/>
              </w:rPr>
              <w:t>,</w:t>
            </w:r>
            <w:r w:rsidR="00702F65" w:rsidRPr="003E3D66">
              <w:rPr>
                <w:rFonts w:ascii="Times New Roman" w:hAnsi="Times New Roman" w:cs="Times New Roman"/>
                <w:sz w:val="24"/>
                <w:szCs w:val="24"/>
              </w:rPr>
              <w:t xml:space="preserve"> riskiana</w:t>
            </w:r>
            <w:r w:rsidR="00D70E9C">
              <w:rPr>
                <w:rFonts w:ascii="Times New Roman" w:hAnsi="Times New Roman" w:cs="Times New Roman"/>
                <w:sz w:val="24"/>
                <w:szCs w:val="24"/>
              </w:rPr>
              <w:t>l</w:t>
            </w:r>
            <w:r w:rsidR="00702F65" w:rsidRPr="003E3D66">
              <w:rPr>
                <w:rFonts w:ascii="Times New Roman" w:hAnsi="Times New Roman" w:cs="Times New Roman"/>
                <w:sz w:val="24"/>
                <w:szCs w:val="24"/>
              </w:rPr>
              <w:t>üüside tegemisel ning poliitikakujundamises. Ühte andmebaasi kogutud andmeid kasutatakse erinevatel otstarvetel</w:t>
            </w:r>
            <w:r w:rsidR="001231E6" w:rsidRPr="003E3D66">
              <w:rPr>
                <w:rFonts w:ascii="Times New Roman" w:hAnsi="Times New Roman" w:cs="Times New Roman"/>
                <w:sz w:val="24"/>
                <w:szCs w:val="24"/>
              </w:rPr>
              <w:t xml:space="preserve"> ning andmebaasiga on ettevõtted vabastatud paberkujul hoolderaamatu pidamisest ja </w:t>
            </w:r>
            <w:r w:rsidR="009D38AD" w:rsidRPr="003E3D66">
              <w:rPr>
                <w:rFonts w:ascii="Times New Roman" w:hAnsi="Times New Roman" w:cs="Times New Roman"/>
                <w:sz w:val="24"/>
                <w:szCs w:val="24"/>
              </w:rPr>
              <w:t>iga-aastaste</w:t>
            </w:r>
            <w:r w:rsidR="001231E6" w:rsidRPr="003E3D66">
              <w:rPr>
                <w:rFonts w:ascii="Times New Roman" w:hAnsi="Times New Roman" w:cs="Times New Roman"/>
                <w:sz w:val="24"/>
                <w:szCs w:val="24"/>
              </w:rPr>
              <w:t xml:space="preserve"> aastaaruannete esitamisest.</w:t>
            </w:r>
          </w:p>
          <w:p w14:paraId="6CA5DD1B" w14:textId="3D2CA5B6" w:rsidR="001E767E" w:rsidRPr="003E3D66" w:rsidRDefault="001E767E" w:rsidP="602638AB">
            <w:pPr>
              <w:jc w:val="both"/>
              <w:rPr>
                <w:rFonts w:ascii="Times New Roman" w:hAnsi="Times New Roman" w:cs="Times New Roman"/>
                <w:sz w:val="24"/>
                <w:szCs w:val="24"/>
              </w:rPr>
            </w:pPr>
            <w:r w:rsidRPr="003E3D66">
              <w:rPr>
                <w:rFonts w:ascii="Times New Roman" w:hAnsi="Times New Roman" w:cs="Times New Roman"/>
                <w:sz w:val="24"/>
                <w:szCs w:val="24"/>
              </w:rPr>
              <w:t>SF6 aruandlus - tegemist on kohustusega, mida enamus ettevõtteid on ka seni täitnud, kuid vabatahtlikkuse alusel</w:t>
            </w:r>
            <w:r w:rsidR="00BA6AB6" w:rsidRPr="003E3D66">
              <w:rPr>
                <w:rFonts w:ascii="Times New Roman" w:hAnsi="Times New Roman" w:cs="Times New Roman"/>
                <w:sz w:val="24"/>
                <w:szCs w:val="24"/>
              </w:rPr>
              <w:t>, sellest tulenevalt ei näe me suurt koormuse kasvu ka siit.</w:t>
            </w:r>
            <w:r w:rsidRPr="003E3D66">
              <w:rPr>
                <w:rFonts w:ascii="Times New Roman" w:hAnsi="Times New Roman" w:cs="Times New Roman"/>
                <w:sz w:val="24"/>
                <w:szCs w:val="24"/>
              </w:rPr>
              <w:t xml:space="preserve"> Miks me soovime seda kohustuslikuks teha? Esiteks on tegemist väga suure keskkonnamõjuga (kliima) ainega. Seadmed on väga pika eluaega, ligi 50 aastat. Seadmeid on paigaldatud alates 2000-date aastate algusest. Soovime vältida SF6  atmosfääri paiskumist (mis on lihtne juhtuma, kui puudub kohustus aine kasutamisest aru anda) – riik peab omama ülevaadet, kui palju SF6 kasutatakse. Antud teemat arutati ka 2022. aasta 13. septembril Riigikogu keskkonnakomisjonis. Arutelu käigus tõdeti, et on oluline, et riik omaks ülevaadet nende seadmete ja ainete kohta. Kokkulepe jäi, et tegeleme selle teemaga ja pakume lahenduse. Selle olemegi nüüd uue kohustusena kirja pannud.</w:t>
            </w:r>
            <w:r w:rsidR="00A346FC" w:rsidRPr="003E3D66">
              <w:rPr>
                <w:rFonts w:ascii="Times New Roman" w:hAnsi="Times New Roman" w:cs="Times New Roman"/>
                <w:sz w:val="24"/>
                <w:szCs w:val="24"/>
              </w:rPr>
              <w:t xml:space="preserve"> </w:t>
            </w:r>
            <w:r w:rsidR="001231E6" w:rsidRPr="003E3D66">
              <w:rPr>
                <w:rFonts w:ascii="Times New Roman" w:hAnsi="Times New Roman" w:cs="Times New Roman"/>
                <w:sz w:val="24"/>
                <w:szCs w:val="24"/>
              </w:rPr>
              <w:t>SF6 a</w:t>
            </w:r>
            <w:r w:rsidR="00A346FC" w:rsidRPr="003E3D66">
              <w:rPr>
                <w:rFonts w:ascii="Times New Roman" w:hAnsi="Times New Roman" w:cs="Times New Roman"/>
                <w:sz w:val="24"/>
                <w:szCs w:val="24"/>
              </w:rPr>
              <w:t xml:space="preserve">ndmeid kasutatakse ka kasvuhoonegaaside </w:t>
            </w:r>
            <w:r w:rsidR="008B4087" w:rsidRPr="003E3D66">
              <w:rPr>
                <w:rFonts w:ascii="Times New Roman" w:hAnsi="Times New Roman" w:cs="Times New Roman"/>
                <w:sz w:val="24"/>
                <w:szCs w:val="24"/>
              </w:rPr>
              <w:t xml:space="preserve">riikliku </w:t>
            </w:r>
            <w:r w:rsidR="00A346FC" w:rsidRPr="003E3D66">
              <w:rPr>
                <w:rFonts w:ascii="Times New Roman" w:hAnsi="Times New Roman" w:cs="Times New Roman"/>
                <w:sz w:val="24"/>
                <w:szCs w:val="24"/>
              </w:rPr>
              <w:t xml:space="preserve">inventuuri </w:t>
            </w:r>
            <w:r w:rsidR="00A346FC" w:rsidRPr="003E3D66">
              <w:rPr>
                <w:rFonts w:ascii="Times New Roman" w:hAnsi="Times New Roman" w:cs="Times New Roman"/>
                <w:sz w:val="24"/>
                <w:szCs w:val="24"/>
              </w:rPr>
              <w:lastRenderedPageBreak/>
              <w:t>koostamiseks</w:t>
            </w:r>
            <w:r w:rsidR="000D3D41" w:rsidRPr="003E3D66">
              <w:rPr>
                <w:rFonts w:ascii="Times New Roman" w:hAnsi="Times New Roman" w:cs="Times New Roman"/>
                <w:sz w:val="24"/>
                <w:szCs w:val="24"/>
              </w:rPr>
              <w:t xml:space="preserve">. See </w:t>
            </w:r>
            <w:r w:rsidR="008B4087" w:rsidRPr="003E3D66">
              <w:rPr>
                <w:rFonts w:ascii="Times New Roman" w:hAnsi="Times New Roman" w:cs="Times New Roman"/>
                <w:sz w:val="24"/>
                <w:szCs w:val="24"/>
              </w:rPr>
              <w:t xml:space="preserve">kohustus tuleb </w:t>
            </w:r>
            <w:r w:rsidR="000251B0" w:rsidRPr="003E3D66">
              <w:rPr>
                <w:rFonts w:ascii="Times New Roman" w:hAnsi="Times New Roman" w:cs="Times New Roman"/>
                <w:sz w:val="24"/>
                <w:szCs w:val="24"/>
              </w:rPr>
              <w:t xml:space="preserve">Pariisi kliimalepingust, millega Eesti ühinenud on ning </w:t>
            </w:r>
            <w:r w:rsidR="008B4087" w:rsidRPr="003E3D66">
              <w:rPr>
                <w:rFonts w:ascii="Times New Roman" w:hAnsi="Times New Roman" w:cs="Times New Roman"/>
                <w:sz w:val="24"/>
                <w:szCs w:val="24"/>
              </w:rPr>
              <w:t>EL-i õigusaktidest</w:t>
            </w:r>
            <w:r w:rsidR="00A346FC" w:rsidRPr="003E3D66">
              <w:rPr>
                <w:rFonts w:ascii="Times New Roman" w:hAnsi="Times New Roman" w:cs="Times New Roman"/>
                <w:sz w:val="24"/>
                <w:szCs w:val="24"/>
              </w:rPr>
              <w:t xml:space="preserve">. Statistikaamet ega </w:t>
            </w:r>
            <w:r w:rsidR="009D38AD" w:rsidRPr="003E3D66">
              <w:rPr>
                <w:rFonts w:ascii="Times New Roman" w:hAnsi="Times New Roman" w:cs="Times New Roman"/>
                <w:sz w:val="24"/>
                <w:szCs w:val="24"/>
              </w:rPr>
              <w:t>ükski teine</w:t>
            </w:r>
            <w:r w:rsidR="00A346FC" w:rsidRPr="003E3D66">
              <w:rPr>
                <w:rFonts w:ascii="Times New Roman" w:hAnsi="Times New Roman" w:cs="Times New Roman"/>
                <w:sz w:val="24"/>
                <w:szCs w:val="24"/>
              </w:rPr>
              <w:t xml:space="preserve"> ametiasutus neid andmeid ei kogu</w:t>
            </w:r>
            <w:r w:rsidR="009D38AD" w:rsidRPr="003E3D66">
              <w:rPr>
                <w:rFonts w:ascii="Times New Roman" w:hAnsi="Times New Roman" w:cs="Times New Roman"/>
                <w:sz w:val="24"/>
                <w:szCs w:val="24"/>
              </w:rPr>
              <w:t xml:space="preserve">. Andmeid on vaja </w:t>
            </w:r>
            <w:r w:rsidR="000D3D41" w:rsidRPr="003E3D66">
              <w:rPr>
                <w:rFonts w:ascii="Times New Roman" w:hAnsi="Times New Roman" w:cs="Times New Roman"/>
                <w:sz w:val="24"/>
                <w:szCs w:val="24"/>
              </w:rPr>
              <w:t>ka määruse 2024/573 rakendamis</w:t>
            </w:r>
            <w:r w:rsidR="009D38AD" w:rsidRPr="003E3D66">
              <w:rPr>
                <w:rFonts w:ascii="Times New Roman" w:hAnsi="Times New Roman" w:cs="Times New Roman"/>
                <w:sz w:val="24"/>
                <w:szCs w:val="24"/>
              </w:rPr>
              <w:t>el</w:t>
            </w:r>
            <w:r w:rsidR="003E3D66">
              <w:rPr>
                <w:rFonts w:ascii="Times New Roman" w:hAnsi="Times New Roman" w:cs="Times New Roman"/>
                <w:sz w:val="24"/>
                <w:szCs w:val="24"/>
              </w:rPr>
              <w:t xml:space="preserve"> ja järelevalveks </w:t>
            </w:r>
            <w:r w:rsidR="00D70E9C">
              <w:rPr>
                <w:rFonts w:ascii="Times New Roman" w:hAnsi="Times New Roman" w:cs="Times New Roman"/>
                <w:sz w:val="24"/>
                <w:szCs w:val="24"/>
              </w:rPr>
              <w:t>nõuete täitmise</w:t>
            </w:r>
            <w:r w:rsidR="003E3D66">
              <w:rPr>
                <w:rFonts w:ascii="Times New Roman" w:hAnsi="Times New Roman" w:cs="Times New Roman"/>
                <w:sz w:val="24"/>
                <w:szCs w:val="24"/>
              </w:rPr>
              <w:t xml:space="preserve"> üle</w:t>
            </w:r>
            <w:r w:rsidR="000D3D41" w:rsidRPr="003E3D66">
              <w:rPr>
                <w:rFonts w:ascii="Times New Roman" w:hAnsi="Times New Roman" w:cs="Times New Roman"/>
                <w:sz w:val="24"/>
                <w:szCs w:val="24"/>
              </w:rPr>
              <w:t>.</w:t>
            </w:r>
          </w:p>
          <w:p w14:paraId="1D2808BD" w14:textId="4FFB4721" w:rsidR="00BD1C52" w:rsidRPr="003E3D66" w:rsidRDefault="00BD1C52" w:rsidP="602638AB">
            <w:pPr>
              <w:jc w:val="both"/>
              <w:rPr>
                <w:rFonts w:ascii="Times New Roman" w:hAnsi="Times New Roman" w:cs="Times New Roman"/>
                <w:sz w:val="24"/>
                <w:szCs w:val="24"/>
              </w:rPr>
            </w:pPr>
          </w:p>
          <w:p w14:paraId="4BE3CE8C" w14:textId="0BC7142F" w:rsidR="00BD1C52" w:rsidRPr="003E3D66" w:rsidRDefault="00BD1C52" w:rsidP="602638AB">
            <w:pPr>
              <w:jc w:val="both"/>
              <w:rPr>
                <w:rFonts w:ascii="Times New Roman" w:hAnsi="Times New Roman" w:cs="Times New Roman"/>
                <w:sz w:val="24"/>
                <w:szCs w:val="24"/>
              </w:rPr>
            </w:pPr>
            <w:r w:rsidRPr="003E3D66">
              <w:rPr>
                <w:rFonts w:ascii="Times New Roman" w:hAnsi="Times New Roman" w:cs="Times New Roman"/>
                <w:sz w:val="24"/>
                <w:szCs w:val="24"/>
              </w:rPr>
              <w:t>Keskkonnaameti järelevalve koormus kasvab tulenevalt uutest EL nõuetest ja nende kohta on seletuskirjas põhjalik ülevaade. Samuti on seletuskirjas ka toodud 1,5 ametikoha suurenemise vajadus</w:t>
            </w:r>
            <w:r w:rsidR="00BA6AB6" w:rsidRPr="003E3D66">
              <w:rPr>
                <w:rFonts w:ascii="Times New Roman" w:hAnsi="Times New Roman" w:cs="Times New Roman"/>
                <w:sz w:val="24"/>
                <w:szCs w:val="24"/>
              </w:rPr>
              <w:t xml:space="preserve">, mida on vajalik </w:t>
            </w:r>
            <w:r w:rsidR="003E3D66">
              <w:rPr>
                <w:rFonts w:ascii="Times New Roman" w:hAnsi="Times New Roman" w:cs="Times New Roman"/>
                <w:sz w:val="24"/>
                <w:szCs w:val="24"/>
              </w:rPr>
              <w:t xml:space="preserve">võimalusel </w:t>
            </w:r>
            <w:r w:rsidR="00BA6AB6" w:rsidRPr="003E3D66">
              <w:rPr>
                <w:rFonts w:ascii="Times New Roman" w:hAnsi="Times New Roman" w:cs="Times New Roman"/>
                <w:sz w:val="24"/>
                <w:szCs w:val="24"/>
              </w:rPr>
              <w:t>riigieelarvest rahastada.</w:t>
            </w:r>
          </w:p>
        </w:tc>
      </w:tr>
    </w:tbl>
    <w:p w14:paraId="5C3E12DA" w14:textId="023A48C9" w:rsidR="602638AB" w:rsidRPr="003E3D66" w:rsidRDefault="602638AB" w:rsidP="602638AB">
      <w:pPr>
        <w:spacing w:after="0" w:line="240" w:lineRule="auto"/>
        <w:jc w:val="both"/>
        <w:rPr>
          <w:rFonts w:ascii="Times New Roman" w:hAnsi="Times New Roman" w:cs="Times New Roman"/>
          <w:b/>
          <w:bCs/>
          <w:sz w:val="24"/>
          <w:szCs w:val="24"/>
        </w:rPr>
      </w:pPr>
    </w:p>
    <w:p w14:paraId="323A1BC9" w14:textId="77777777" w:rsidR="00A346FC" w:rsidRPr="003E3D66" w:rsidRDefault="00A346FC" w:rsidP="602638AB">
      <w:pPr>
        <w:spacing w:after="0" w:line="240" w:lineRule="auto"/>
        <w:jc w:val="both"/>
        <w:rPr>
          <w:rFonts w:ascii="Times New Roman" w:hAnsi="Times New Roman" w:cs="Times New Roman"/>
          <w:b/>
          <w:bCs/>
          <w:sz w:val="24"/>
          <w:szCs w:val="24"/>
        </w:rPr>
      </w:pPr>
    </w:p>
    <w:p w14:paraId="0C12CF83" w14:textId="77777777" w:rsidR="00A346FC" w:rsidRPr="003E3D66" w:rsidRDefault="00A346FC" w:rsidP="602638AB">
      <w:pPr>
        <w:spacing w:after="0" w:line="240" w:lineRule="auto"/>
        <w:jc w:val="both"/>
        <w:rPr>
          <w:rFonts w:ascii="Times New Roman" w:hAnsi="Times New Roman" w:cs="Times New Roman"/>
          <w:b/>
          <w:bCs/>
          <w:sz w:val="24"/>
          <w:szCs w:val="24"/>
        </w:rPr>
      </w:pPr>
    </w:p>
    <w:p w14:paraId="71F449E2" w14:textId="503B3FFE" w:rsidR="602638AB" w:rsidRPr="003E3D66" w:rsidRDefault="400E54EA" w:rsidP="602638AB">
      <w:pPr>
        <w:spacing w:after="0" w:line="240" w:lineRule="auto"/>
        <w:jc w:val="both"/>
        <w:rPr>
          <w:rFonts w:ascii="Times New Roman" w:hAnsi="Times New Roman" w:cs="Times New Roman"/>
          <w:b/>
          <w:bCs/>
          <w:sz w:val="24"/>
          <w:szCs w:val="24"/>
        </w:rPr>
      </w:pPr>
      <w:r w:rsidRPr="003E3D66">
        <w:rPr>
          <w:rFonts w:ascii="Times New Roman" w:hAnsi="Times New Roman" w:cs="Times New Roman"/>
          <w:b/>
          <w:bCs/>
          <w:sz w:val="24"/>
          <w:szCs w:val="24"/>
        </w:rPr>
        <w:t xml:space="preserve">3. </w:t>
      </w:r>
      <w:r w:rsidR="00D35432" w:rsidRPr="003E3D66">
        <w:rPr>
          <w:rFonts w:ascii="Times New Roman" w:hAnsi="Times New Roman" w:cs="Times New Roman"/>
          <w:b/>
          <w:bCs/>
          <w:sz w:val="24"/>
          <w:szCs w:val="24"/>
        </w:rPr>
        <w:t>Regionaal- ja Põllumajandusministeerium</w:t>
      </w:r>
    </w:p>
    <w:p w14:paraId="7FB944CA" w14:textId="0F24FD45" w:rsidR="02D44109" w:rsidRPr="003E3D66" w:rsidRDefault="02D44109" w:rsidP="02D44109">
      <w:pPr>
        <w:spacing w:after="0" w:line="240" w:lineRule="auto"/>
        <w:jc w:val="both"/>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615"/>
        <w:gridCol w:w="6803"/>
        <w:gridCol w:w="2355"/>
        <w:gridCol w:w="4164"/>
      </w:tblGrid>
      <w:tr w:rsidR="02D44109" w:rsidRPr="003E3D66" w14:paraId="4454CAE3" w14:textId="77777777" w:rsidTr="02D44109">
        <w:trPr>
          <w:trHeight w:val="300"/>
        </w:trPr>
        <w:tc>
          <w:tcPr>
            <w:tcW w:w="615" w:type="dxa"/>
          </w:tcPr>
          <w:p w14:paraId="557C197B" w14:textId="6D3CE9AC" w:rsidR="02D44109" w:rsidRPr="003E3D66" w:rsidRDefault="02D44109" w:rsidP="02D44109">
            <w:pPr>
              <w:jc w:val="both"/>
              <w:rPr>
                <w:rFonts w:ascii="Times New Roman" w:hAnsi="Times New Roman" w:cs="Times New Roman"/>
                <w:sz w:val="24"/>
                <w:szCs w:val="24"/>
              </w:rPr>
            </w:pPr>
            <w:r w:rsidRPr="003E3D66">
              <w:rPr>
                <w:rFonts w:ascii="Times New Roman" w:hAnsi="Times New Roman" w:cs="Times New Roman"/>
                <w:b/>
                <w:bCs/>
                <w:sz w:val="24"/>
                <w:szCs w:val="24"/>
              </w:rPr>
              <w:t>Jrk nr</w:t>
            </w:r>
          </w:p>
        </w:tc>
        <w:tc>
          <w:tcPr>
            <w:tcW w:w="6803" w:type="dxa"/>
          </w:tcPr>
          <w:p w14:paraId="5B45B6D3" w14:textId="54DD6E3C" w:rsidR="02D44109" w:rsidRPr="003E3D66" w:rsidRDefault="02D44109" w:rsidP="02D44109">
            <w:pPr>
              <w:jc w:val="both"/>
              <w:rPr>
                <w:rFonts w:ascii="Times New Roman" w:hAnsi="Times New Roman" w:cs="Times New Roman"/>
                <w:sz w:val="24"/>
                <w:szCs w:val="24"/>
              </w:rPr>
            </w:pPr>
            <w:r w:rsidRPr="003E3D66">
              <w:rPr>
                <w:rFonts w:ascii="Times New Roman" w:hAnsi="Times New Roman" w:cs="Times New Roman"/>
                <w:b/>
                <w:bCs/>
                <w:sz w:val="24"/>
                <w:szCs w:val="24"/>
              </w:rPr>
              <w:t>Ettepaneku/märkuse sisu</w:t>
            </w:r>
          </w:p>
        </w:tc>
        <w:tc>
          <w:tcPr>
            <w:tcW w:w="2355" w:type="dxa"/>
          </w:tcPr>
          <w:p w14:paraId="1956DCAB" w14:textId="4DDACC49" w:rsidR="02D44109" w:rsidRPr="003E3D66" w:rsidRDefault="02D44109" w:rsidP="02D44109">
            <w:pPr>
              <w:jc w:val="both"/>
              <w:rPr>
                <w:rFonts w:ascii="Times New Roman" w:hAnsi="Times New Roman" w:cs="Times New Roman"/>
                <w:sz w:val="24"/>
                <w:szCs w:val="24"/>
              </w:rPr>
            </w:pPr>
            <w:r w:rsidRPr="003E3D66">
              <w:rPr>
                <w:rFonts w:ascii="Times New Roman" w:hAnsi="Times New Roman" w:cs="Times New Roman"/>
                <w:b/>
                <w:bCs/>
                <w:sz w:val="24"/>
                <w:szCs w:val="24"/>
              </w:rPr>
              <w:t>Arvestatud/ mittearvestatud</w:t>
            </w:r>
          </w:p>
        </w:tc>
        <w:tc>
          <w:tcPr>
            <w:tcW w:w="4164" w:type="dxa"/>
          </w:tcPr>
          <w:p w14:paraId="24CBE6B7" w14:textId="5DDBFA37" w:rsidR="02D44109" w:rsidRPr="003E3D66" w:rsidRDefault="02D44109" w:rsidP="02D44109">
            <w:pPr>
              <w:jc w:val="both"/>
              <w:rPr>
                <w:rFonts w:ascii="Times New Roman" w:hAnsi="Times New Roman" w:cs="Times New Roman"/>
                <w:sz w:val="24"/>
                <w:szCs w:val="24"/>
              </w:rPr>
            </w:pPr>
            <w:r w:rsidRPr="003E3D66">
              <w:rPr>
                <w:rFonts w:ascii="Times New Roman" w:hAnsi="Times New Roman" w:cs="Times New Roman"/>
                <w:b/>
                <w:bCs/>
                <w:sz w:val="24"/>
                <w:szCs w:val="24"/>
              </w:rPr>
              <w:t>Kommentaarid</w:t>
            </w:r>
          </w:p>
        </w:tc>
      </w:tr>
      <w:tr w:rsidR="02D44109" w:rsidRPr="003E3D66" w14:paraId="3341E770" w14:textId="77777777" w:rsidTr="02D44109">
        <w:trPr>
          <w:trHeight w:val="300"/>
        </w:trPr>
        <w:tc>
          <w:tcPr>
            <w:tcW w:w="615" w:type="dxa"/>
          </w:tcPr>
          <w:p w14:paraId="0F3CC2C8" w14:textId="29382574" w:rsidR="02D44109" w:rsidRPr="003E3D66" w:rsidRDefault="02D44109" w:rsidP="02D44109">
            <w:pPr>
              <w:jc w:val="both"/>
              <w:rPr>
                <w:rFonts w:ascii="Times New Roman" w:hAnsi="Times New Roman" w:cs="Times New Roman"/>
                <w:sz w:val="24"/>
                <w:szCs w:val="24"/>
              </w:rPr>
            </w:pPr>
            <w:r w:rsidRPr="003E3D66">
              <w:rPr>
                <w:rFonts w:ascii="Times New Roman" w:hAnsi="Times New Roman" w:cs="Times New Roman"/>
                <w:sz w:val="24"/>
                <w:szCs w:val="24"/>
              </w:rPr>
              <w:t>1</w:t>
            </w:r>
          </w:p>
        </w:tc>
        <w:tc>
          <w:tcPr>
            <w:tcW w:w="6803" w:type="dxa"/>
          </w:tcPr>
          <w:p w14:paraId="45B202E3" w14:textId="36F902E8" w:rsidR="5B0C7B56" w:rsidRPr="003E3D66" w:rsidRDefault="00C426FF" w:rsidP="02D44109">
            <w:pPr>
              <w:jc w:val="both"/>
              <w:rPr>
                <w:rFonts w:ascii="Times New Roman" w:hAnsi="Times New Roman" w:cs="Times New Roman"/>
                <w:sz w:val="24"/>
                <w:szCs w:val="24"/>
              </w:rPr>
            </w:pPr>
            <w:r w:rsidRPr="003E3D66">
              <w:rPr>
                <w:rFonts w:ascii="Times New Roman" w:hAnsi="Times New Roman" w:cs="Times New Roman"/>
                <w:sz w:val="24"/>
                <w:szCs w:val="24"/>
              </w:rPr>
              <w:t xml:space="preserve">Regionaal- ja Põllumajandusministeerium kooskõlastab atmosfääriõhu kaitse seaduse ja karistusregistri seaduse muutmise seaduse eelnõu (edaspidi eelnõu) järgmise märkusega: Eelnõu seletuskirja osas „seaduse rakendamisega seotud riigi ja kohaliku omavalitsuse tegevused, eeldatavad kulud ja tulud“ on märgitud, et „HFO-dega seadmetele on vaja hakata tegema lekkekontrolli ning need seadmed FOKA registrisse kanda. Kui KOV-s on selliseid seadmeid, lisandub pädeva hooldusfirma kulu (kanded FOKA registrisse).“ Väidetavalt kaasnevad selle tulemusel mõningad kulud </w:t>
            </w:r>
            <w:r w:rsidRPr="003E3D66">
              <w:rPr>
                <w:rFonts w:ascii="Times New Roman" w:hAnsi="Times New Roman" w:cs="Times New Roman"/>
                <w:sz w:val="24"/>
                <w:szCs w:val="24"/>
              </w:rPr>
              <w:lastRenderedPageBreak/>
              <w:t>kohaliku omavalitsuse üksustele. Eelnõu seletuskirjas on välja toodud küll riigilõivud, kuid mitte prognoositav hoolduskulu. Samuti on jäänud märkimata hooldustööde tegemise sagedus. Palume selles osas eelnõu seletuskirja täiendada.</w:t>
            </w:r>
          </w:p>
        </w:tc>
        <w:tc>
          <w:tcPr>
            <w:tcW w:w="2355" w:type="dxa"/>
          </w:tcPr>
          <w:p w14:paraId="6E04851F" w14:textId="694E146B" w:rsidR="02D44109" w:rsidRPr="003E3D66" w:rsidRDefault="000A1120" w:rsidP="02D44109">
            <w:pPr>
              <w:jc w:val="both"/>
              <w:rPr>
                <w:rFonts w:ascii="Times New Roman" w:hAnsi="Times New Roman" w:cs="Times New Roman"/>
                <w:sz w:val="24"/>
                <w:szCs w:val="24"/>
              </w:rPr>
            </w:pPr>
            <w:r w:rsidRPr="003E3D66">
              <w:rPr>
                <w:rFonts w:ascii="Times New Roman" w:hAnsi="Times New Roman" w:cs="Times New Roman"/>
                <w:sz w:val="24"/>
                <w:szCs w:val="24"/>
              </w:rPr>
              <w:lastRenderedPageBreak/>
              <w:t>Arvestatud</w:t>
            </w:r>
          </w:p>
        </w:tc>
        <w:tc>
          <w:tcPr>
            <w:tcW w:w="4164" w:type="dxa"/>
          </w:tcPr>
          <w:p w14:paraId="3C351FB7" w14:textId="03246450" w:rsidR="02D44109" w:rsidRPr="003E3D66" w:rsidRDefault="00FB1828" w:rsidP="02D44109">
            <w:pPr>
              <w:jc w:val="both"/>
              <w:rPr>
                <w:rFonts w:ascii="Times New Roman" w:hAnsi="Times New Roman" w:cs="Times New Roman"/>
                <w:sz w:val="24"/>
                <w:szCs w:val="24"/>
              </w:rPr>
            </w:pPr>
            <w:r w:rsidRPr="003E3D66">
              <w:rPr>
                <w:rFonts w:ascii="Times New Roman" w:hAnsi="Times New Roman" w:cs="Times New Roman"/>
                <w:sz w:val="24"/>
                <w:szCs w:val="24"/>
              </w:rPr>
              <w:t xml:space="preserve">Seletuskirja </w:t>
            </w:r>
            <w:r w:rsidR="00702F65" w:rsidRPr="003E3D66">
              <w:rPr>
                <w:rFonts w:ascii="Times New Roman" w:hAnsi="Times New Roman" w:cs="Times New Roman"/>
                <w:sz w:val="24"/>
                <w:szCs w:val="24"/>
              </w:rPr>
              <w:t xml:space="preserve">mõjude osa </w:t>
            </w:r>
            <w:r w:rsidR="00C71164">
              <w:rPr>
                <w:rFonts w:ascii="Times New Roman" w:hAnsi="Times New Roman" w:cs="Times New Roman"/>
                <w:sz w:val="24"/>
                <w:szCs w:val="24"/>
              </w:rPr>
              <w:t xml:space="preserve">(6.1 Mõju avaldav muudatus) </w:t>
            </w:r>
            <w:r w:rsidR="001231E6" w:rsidRPr="003E3D66">
              <w:rPr>
                <w:rFonts w:ascii="Times New Roman" w:hAnsi="Times New Roman" w:cs="Times New Roman"/>
                <w:sz w:val="24"/>
                <w:szCs w:val="24"/>
              </w:rPr>
              <w:t xml:space="preserve">on </w:t>
            </w:r>
            <w:r w:rsidRPr="003E3D66">
              <w:rPr>
                <w:rFonts w:ascii="Times New Roman" w:hAnsi="Times New Roman" w:cs="Times New Roman"/>
                <w:sz w:val="24"/>
                <w:szCs w:val="24"/>
              </w:rPr>
              <w:t>täiendatud.</w:t>
            </w:r>
          </w:p>
        </w:tc>
      </w:tr>
    </w:tbl>
    <w:p w14:paraId="215AD1FA" w14:textId="58EBF56E" w:rsidR="02D44109" w:rsidRPr="003E3D66" w:rsidRDefault="02D44109" w:rsidP="02D44109">
      <w:pPr>
        <w:spacing w:after="0" w:line="240" w:lineRule="auto"/>
        <w:jc w:val="both"/>
        <w:rPr>
          <w:rFonts w:ascii="Times New Roman" w:hAnsi="Times New Roman" w:cs="Times New Roman"/>
          <w:b/>
          <w:bCs/>
          <w:sz w:val="24"/>
          <w:szCs w:val="24"/>
        </w:rPr>
      </w:pPr>
    </w:p>
    <w:p w14:paraId="644FC8BD" w14:textId="5BCC504D" w:rsidR="00530814" w:rsidRPr="003E3D66" w:rsidRDefault="07A18CBF" w:rsidP="00D218F8">
      <w:pPr>
        <w:spacing w:after="0" w:line="240" w:lineRule="auto"/>
        <w:jc w:val="both"/>
        <w:rPr>
          <w:rFonts w:ascii="Times New Roman" w:hAnsi="Times New Roman" w:cs="Times New Roman"/>
          <w:sz w:val="24"/>
          <w:szCs w:val="24"/>
        </w:rPr>
      </w:pPr>
      <w:r w:rsidRPr="003E3D66">
        <w:rPr>
          <w:rFonts w:ascii="Times New Roman" w:hAnsi="Times New Roman" w:cs="Times New Roman"/>
          <w:b/>
          <w:bCs/>
          <w:sz w:val="24"/>
          <w:szCs w:val="24"/>
        </w:rPr>
        <w:t>4</w:t>
      </w:r>
      <w:r w:rsidR="00530814" w:rsidRPr="003E3D66">
        <w:rPr>
          <w:rFonts w:ascii="Times New Roman" w:hAnsi="Times New Roman" w:cs="Times New Roman"/>
          <w:b/>
          <w:bCs/>
          <w:sz w:val="24"/>
          <w:szCs w:val="24"/>
        </w:rPr>
        <w:t>. </w:t>
      </w:r>
      <w:r w:rsidR="00C426FF" w:rsidRPr="003E3D66">
        <w:rPr>
          <w:rFonts w:ascii="Times New Roman" w:hAnsi="Times New Roman" w:cs="Times New Roman"/>
          <w:b/>
          <w:bCs/>
          <w:sz w:val="24"/>
          <w:szCs w:val="24"/>
        </w:rPr>
        <w:t>Haridus- ja Teadusministeerium</w:t>
      </w:r>
    </w:p>
    <w:p w14:paraId="481996D8" w14:textId="77777777" w:rsidR="00923C3E" w:rsidRPr="003E3D66" w:rsidRDefault="00923C3E" w:rsidP="00D218F8">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76"/>
        <w:gridCol w:w="6937"/>
        <w:gridCol w:w="2267"/>
        <w:gridCol w:w="4214"/>
      </w:tblGrid>
      <w:tr w:rsidR="00923C3E" w:rsidRPr="003E3D66" w14:paraId="0BD836AF" w14:textId="77777777" w:rsidTr="1B44221A">
        <w:tc>
          <w:tcPr>
            <w:tcW w:w="562" w:type="dxa"/>
          </w:tcPr>
          <w:p w14:paraId="4400C258" w14:textId="6D3CE9AC" w:rsidR="00923C3E" w:rsidRPr="003E3D66" w:rsidRDefault="00923C3E" w:rsidP="00923C3E">
            <w:pPr>
              <w:jc w:val="both"/>
              <w:rPr>
                <w:rFonts w:ascii="Times New Roman" w:hAnsi="Times New Roman" w:cs="Times New Roman"/>
                <w:sz w:val="24"/>
                <w:szCs w:val="24"/>
              </w:rPr>
            </w:pPr>
            <w:r w:rsidRPr="003E3D66">
              <w:rPr>
                <w:rFonts w:ascii="Times New Roman" w:hAnsi="Times New Roman" w:cs="Times New Roman"/>
                <w:b/>
                <w:bCs/>
                <w:sz w:val="24"/>
                <w:szCs w:val="24"/>
              </w:rPr>
              <w:t>Jrk nr</w:t>
            </w:r>
          </w:p>
        </w:tc>
        <w:tc>
          <w:tcPr>
            <w:tcW w:w="6946" w:type="dxa"/>
          </w:tcPr>
          <w:p w14:paraId="6C2C780B" w14:textId="54DD6E3C" w:rsidR="00923C3E" w:rsidRPr="003E3D66" w:rsidRDefault="00923C3E" w:rsidP="00923C3E">
            <w:pPr>
              <w:jc w:val="both"/>
              <w:rPr>
                <w:rFonts w:ascii="Times New Roman" w:hAnsi="Times New Roman" w:cs="Times New Roman"/>
                <w:sz w:val="24"/>
                <w:szCs w:val="24"/>
              </w:rPr>
            </w:pPr>
            <w:r w:rsidRPr="003E3D66">
              <w:rPr>
                <w:rFonts w:ascii="Times New Roman" w:hAnsi="Times New Roman" w:cs="Times New Roman"/>
                <w:b/>
                <w:bCs/>
                <w:sz w:val="24"/>
                <w:szCs w:val="24"/>
              </w:rPr>
              <w:t>Ettepaneku/märkuse sisu</w:t>
            </w:r>
          </w:p>
        </w:tc>
        <w:tc>
          <w:tcPr>
            <w:tcW w:w="2268" w:type="dxa"/>
          </w:tcPr>
          <w:p w14:paraId="0106222E" w14:textId="4DDACC49" w:rsidR="00923C3E" w:rsidRPr="003E3D66" w:rsidRDefault="00923C3E" w:rsidP="00923C3E">
            <w:pPr>
              <w:jc w:val="both"/>
              <w:rPr>
                <w:rFonts w:ascii="Times New Roman" w:hAnsi="Times New Roman" w:cs="Times New Roman"/>
                <w:sz w:val="24"/>
                <w:szCs w:val="24"/>
              </w:rPr>
            </w:pPr>
            <w:r w:rsidRPr="003E3D66">
              <w:rPr>
                <w:rFonts w:ascii="Times New Roman" w:hAnsi="Times New Roman" w:cs="Times New Roman"/>
                <w:b/>
                <w:bCs/>
                <w:sz w:val="24"/>
                <w:szCs w:val="24"/>
              </w:rPr>
              <w:t>Arvestatud/ mittearvestatud</w:t>
            </w:r>
          </w:p>
        </w:tc>
        <w:tc>
          <w:tcPr>
            <w:tcW w:w="4218" w:type="dxa"/>
          </w:tcPr>
          <w:p w14:paraId="6359ECA4" w14:textId="5DDBFA37" w:rsidR="00923C3E" w:rsidRPr="003E3D66" w:rsidRDefault="00923C3E" w:rsidP="00923C3E">
            <w:pPr>
              <w:jc w:val="both"/>
              <w:rPr>
                <w:rFonts w:ascii="Times New Roman" w:hAnsi="Times New Roman" w:cs="Times New Roman"/>
                <w:sz w:val="24"/>
                <w:szCs w:val="24"/>
              </w:rPr>
            </w:pPr>
            <w:r w:rsidRPr="003E3D66">
              <w:rPr>
                <w:rFonts w:ascii="Times New Roman" w:hAnsi="Times New Roman" w:cs="Times New Roman"/>
                <w:b/>
                <w:bCs/>
                <w:sz w:val="24"/>
                <w:szCs w:val="24"/>
              </w:rPr>
              <w:t>Kommentaarid</w:t>
            </w:r>
          </w:p>
        </w:tc>
      </w:tr>
      <w:tr w:rsidR="00923C3E" w:rsidRPr="003E3D66" w14:paraId="58BF1995" w14:textId="77777777" w:rsidTr="1B44221A">
        <w:tc>
          <w:tcPr>
            <w:tcW w:w="562" w:type="dxa"/>
          </w:tcPr>
          <w:p w14:paraId="1F7F0A63" w14:textId="36453D46" w:rsidR="00923C3E" w:rsidRPr="003E3D66" w:rsidRDefault="00923C3E" w:rsidP="00923C3E">
            <w:pPr>
              <w:jc w:val="both"/>
              <w:rPr>
                <w:rFonts w:ascii="Times New Roman" w:hAnsi="Times New Roman" w:cs="Times New Roman"/>
                <w:sz w:val="24"/>
                <w:szCs w:val="24"/>
              </w:rPr>
            </w:pPr>
            <w:r w:rsidRPr="003E3D66">
              <w:rPr>
                <w:rFonts w:ascii="Times New Roman" w:hAnsi="Times New Roman" w:cs="Times New Roman"/>
                <w:sz w:val="24"/>
                <w:szCs w:val="24"/>
              </w:rPr>
              <w:t>1</w:t>
            </w:r>
          </w:p>
        </w:tc>
        <w:tc>
          <w:tcPr>
            <w:tcW w:w="6946" w:type="dxa"/>
          </w:tcPr>
          <w:p w14:paraId="67BE3029" w14:textId="76CEF744" w:rsidR="00923C3E" w:rsidRPr="003E3D66" w:rsidRDefault="00C426FF" w:rsidP="00C426FF">
            <w:pPr>
              <w:jc w:val="both"/>
              <w:rPr>
                <w:rFonts w:ascii="Times New Roman" w:hAnsi="Times New Roman" w:cs="Times New Roman"/>
                <w:sz w:val="24"/>
                <w:szCs w:val="24"/>
              </w:rPr>
            </w:pPr>
            <w:r w:rsidRPr="003E3D66">
              <w:rPr>
                <w:rFonts w:ascii="Times New Roman" w:hAnsi="Times New Roman" w:cs="Times New Roman"/>
                <w:sz w:val="24"/>
                <w:szCs w:val="24"/>
              </w:rPr>
              <w:t>Kooskõlastame atmosfääriõhu kaitse seaduse ja karistusregistri seaduse muutmise seaduse eelnõu järgmise märkusega. Eelnõu punkti 16 kohaselt täiendatakse atmosfääriõhu kaitse seadust §-ga 195</w:t>
            </w:r>
            <w:r w:rsidRPr="003E3D66">
              <w:rPr>
                <w:rFonts w:ascii="Times New Roman" w:hAnsi="Times New Roman" w:cs="Times New Roman"/>
                <w:sz w:val="24"/>
                <w:szCs w:val="24"/>
                <w:vertAlign w:val="superscript"/>
              </w:rPr>
              <w:t>1</w:t>
            </w:r>
            <w:r w:rsidRPr="003E3D66">
              <w:rPr>
                <w:rFonts w:ascii="Times New Roman" w:hAnsi="Times New Roman" w:cs="Times New Roman"/>
                <w:sz w:val="24"/>
                <w:szCs w:val="24"/>
              </w:rPr>
              <w:t xml:space="preserve"> , mille lõige 2 sätestab: „/…/ Kui lõikes 1 nimetatud tingimust ei täideta, on kutseseaduse § 6 lõikes 2 nimetatud kutseasutuse ülesannete täitjal õigus kutse-või osakutsetunnistus kehtetuks tunnistada.“. Juhime tähelepanu, et vastavalt kutseseaduse §-le 22 on kutsetunnistuse kehtetuks tunnistamine kutse andja, mitte kutseasutuse pädevus. Palume eelnõus teha vastavad korrektuurid</w:t>
            </w:r>
          </w:p>
        </w:tc>
        <w:tc>
          <w:tcPr>
            <w:tcW w:w="2268" w:type="dxa"/>
          </w:tcPr>
          <w:p w14:paraId="064A7794" w14:textId="4412DE4D" w:rsidR="00923C3E" w:rsidRPr="003E3D66" w:rsidRDefault="008B4087" w:rsidP="00923C3E">
            <w:pPr>
              <w:jc w:val="both"/>
              <w:rPr>
                <w:rFonts w:ascii="Times New Roman" w:hAnsi="Times New Roman" w:cs="Times New Roman"/>
                <w:sz w:val="24"/>
                <w:szCs w:val="24"/>
              </w:rPr>
            </w:pPr>
            <w:r w:rsidRPr="003E3D66">
              <w:rPr>
                <w:rFonts w:ascii="Times New Roman" w:hAnsi="Times New Roman" w:cs="Times New Roman"/>
                <w:sz w:val="24"/>
                <w:szCs w:val="24"/>
              </w:rPr>
              <w:t>Arvestatud</w:t>
            </w:r>
          </w:p>
        </w:tc>
        <w:tc>
          <w:tcPr>
            <w:tcW w:w="4218" w:type="dxa"/>
          </w:tcPr>
          <w:p w14:paraId="16C596FD" w14:textId="063DAFD9" w:rsidR="008E04C1" w:rsidRPr="003E3D66" w:rsidRDefault="008E04C1" w:rsidP="008E04C1">
            <w:pPr>
              <w:jc w:val="both"/>
              <w:rPr>
                <w:rFonts w:ascii="Times New Roman" w:hAnsi="Times New Roman" w:cs="Times New Roman"/>
                <w:sz w:val="24"/>
                <w:szCs w:val="24"/>
              </w:rPr>
            </w:pPr>
            <w:r w:rsidRPr="003E3D66">
              <w:rPr>
                <w:rFonts w:ascii="Times New Roman" w:hAnsi="Times New Roman" w:cs="Times New Roman"/>
                <w:sz w:val="24"/>
                <w:szCs w:val="24"/>
              </w:rPr>
              <w:t>Paragrahvi</w:t>
            </w:r>
            <w:r w:rsidR="00B405A0" w:rsidRPr="003E3D66">
              <w:rPr>
                <w:rFonts w:ascii="Times New Roman" w:hAnsi="Times New Roman" w:cs="Times New Roman"/>
                <w:sz w:val="24"/>
                <w:szCs w:val="24"/>
              </w:rPr>
              <w:t xml:space="preserve"> </w:t>
            </w:r>
            <w:r w:rsidRPr="003E3D66">
              <w:rPr>
                <w:rFonts w:ascii="Times New Roman" w:hAnsi="Times New Roman" w:cs="Times New Roman"/>
                <w:sz w:val="24"/>
                <w:szCs w:val="24"/>
              </w:rPr>
              <w:t>195</w:t>
            </w:r>
            <w:r w:rsidRPr="003E3D66">
              <w:rPr>
                <w:rFonts w:ascii="Times New Roman" w:hAnsi="Times New Roman" w:cs="Times New Roman"/>
                <w:sz w:val="24"/>
                <w:szCs w:val="24"/>
                <w:vertAlign w:val="superscript"/>
              </w:rPr>
              <w:t>1</w:t>
            </w:r>
            <w:r w:rsidRPr="003E3D66">
              <w:rPr>
                <w:rFonts w:ascii="Times New Roman" w:hAnsi="Times New Roman" w:cs="Times New Roman"/>
                <w:sz w:val="24"/>
                <w:szCs w:val="24"/>
              </w:rPr>
              <w:t xml:space="preserve"> lg 2 </w:t>
            </w:r>
            <w:r w:rsidR="00B405A0" w:rsidRPr="003E3D66">
              <w:rPr>
                <w:rFonts w:ascii="Times New Roman" w:hAnsi="Times New Roman" w:cs="Times New Roman"/>
                <w:sz w:val="24"/>
                <w:szCs w:val="24"/>
              </w:rPr>
              <w:t xml:space="preserve">on </w:t>
            </w:r>
            <w:r w:rsidRPr="003E3D66">
              <w:rPr>
                <w:rFonts w:ascii="Times New Roman" w:hAnsi="Times New Roman" w:cs="Times New Roman"/>
                <w:sz w:val="24"/>
                <w:szCs w:val="24"/>
              </w:rPr>
              <w:t>ümber sõnastud</w:t>
            </w:r>
            <w:r w:rsidR="00B405A0" w:rsidRPr="003E3D66">
              <w:rPr>
                <w:rFonts w:ascii="Times New Roman" w:hAnsi="Times New Roman" w:cs="Times New Roman"/>
                <w:sz w:val="24"/>
                <w:szCs w:val="24"/>
              </w:rPr>
              <w:t xml:space="preserve"> alljärgnevalt:</w:t>
            </w:r>
            <w:r w:rsidRPr="003E3D66">
              <w:rPr>
                <w:rFonts w:ascii="Times New Roman" w:hAnsi="Times New Roman" w:cs="Times New Roman"/>
                <w:sz w:val="24"/>
                <w:szCs w:val="24"/>
              </w:rPr>
              <w:t xml:space="preserve"> „Kui lõikes 1 nimetatud tingimust ei täideta, on kutse andjal õigus kutse- või osakutsetunnistus kehtetuks tunnistada.</w:t>
            </w:r>
            <w:r w:rsidR="00B405A0" w:rsidRPr="003E3D66">
              <w:rPr>
                <w:rFonts w:ascii="Times New Roman" w:hAnsi="Times New Roman" w:cs="Times New Roman"/>
                <w:sz w:val="24"/>
                <w:szCs w:val="24"/>
              </w:rPr>
              <w:t>“.</w:t>
            </w:r>
          </w:p>
          <w:p w14:paraId="71DA24B5" w14:textId="353E32D7" w:rsidR="00923C3E" w:rsidRPr="003E3D66" w:rsidRDefault="00923C3E" w:rsidP="00923C3E">
            <w:pPr>
              <w:jc w:val="both"/>
              <w:rPr>
                <w:rFonts w:ascii="Times New Roman" w:hAnsi="Times New Roman" w:cs="Times New Roman"/>
                <w:sz w:val="24"/>
                <w:szCs w:val="24"/>
              </w:rPr>
            </w:pPr>
          </w:p>
        </w:tc>
      </w:tr>
    </w:tbl>
    <w:p w14:paraId="1BF55780" w14:textId="3B3207F1" w:rsidR="00923C3E" w:rsidRPr="003E3D66" w:rsidRDefault="00923C3E" w:rsidP="00D218F8">
      <w:pPr>
        <w:spacing w:after="0" w:line="240" w:lineRule="auto"/>
        <w:jc w:val="both"/>
        <w:rPr>
          <w:rFonts w:ascii="Times New Roman" w:hAnsi="Times New Roman" w:cs="Times New Roman"/>
          <w:b/>
          <w:sz w:val="24"/>
          <w:szCs w:val="24"/>
        </w:rPr>
      </w:pPr>
    </w:p>
    <w:p w14:paraId="5CF28A98" w14:textId="5BF650B4" w:rsidR="3A706925" w:rsidRPr="003E3D66" w:rsidRDefault="3A706925" w:rsidP="00D35432">
      <w:pPr>
        <w:spacing w:after="0" w:line="240" w:lineRule="auto"/>
        <w:jc w:val="both"/>
        <w:rPr>
          <w:rFonts w:ascii="Times New Roman" w:hAnsi="Times New Roman" w:cs="Times New Roman"/>
          <w:sz w:val="24"/>
          <w:szCs w:val="24"/>
        </w:rPr>
      </w:pPr>
    </w:p>
    <w:p w14:paraId="409FF532" w14:textId="77777777" w:rsidR="00A346FC" w:rsidRPr="003E3D66" w:rsidRDefault="00A346FC" w:rsidP="00D35432">
      <w:pPr>
        <w:spacing w:after="0" w:line="240" w:lineRule="auto"/>
        <w:jc w:val="both"/>
        <w:rPr>
          <w:rFonts w:ascii="Times New Roman" w:hAnsi="Times New Roman" w:cs="Times New Roman"/>
          <w:sz w:val="24"/>
          <w:szCs w:val="24"/>
        </w:rPr>
      </w:pPr>
    </w:p>
    <w:p w14:paraId="15395916" w14:textId="638CBB54" w:rsidR="00923C3E" w:rsidRPr="003E3D66" w:rsidRDefault="007709D9" w:rsidP="00D218F8">
      <w:pPr>
        <w:spacing w:after="0" w:line="240" w:lineRule="auto"/>
        <w:jc w:val="both"/>
        <w:rPr>
          <w:rFonts w:ascii="Times New Roman" w:hAnsi="Times New Roman" w:cs="Times New Roman"/>
          <w:b/>
          <w:bCs/>
          <w:sz w:val="24"/>
          <w:szCs w:val="24"/>
        </w:rPr>
      </w:pPr>
      <w:r w:rsidRPr="003E3D66">
        <w:rPr>
          <w:rFonts w:ascii="Times New Roman" w:hAnsi="Times New Roman" w:cs="Times New Roman"/>
          <w:b/>
          <w:bCs/>
          <w:sz w:val="24"/>
          <w:szCs w:val="24"/>
        </w:rPr>
        <w:t>5. Justiits- ja Digiministeerium</w:t>
      </w:r>
    </w:p>
    <w:tbl>
      <w:tblPr>
        <w:tblStyle w:val="Kontuurtabel"/>
        <w:tblW w:w="0" w:type="auto"/>
        <w:tblLook w:val="04A0" w:firstRow="1" w:lastRow="0" w:firstColumn="1" w:lastColumn="0" w:noHBand="0" w:noVBand="1"/>
      </w:tblPr>
      <w:tblGrid>
        <w:gridCol w:w="562"/>
        <w:gridCol w:w="6946"/>
        <w:gridCol w:w="2268"/>
        <w:gridCol w:w="4218"/>
      </w:tblGrid>
      <w:tr w:rsidR="00392ADC" w:rsidRPr="003E3D66" w14:paraId="441322E4" w14:textId="77777777" w:rsidTr="00AA72ED">
        <w:tc>
          <w:tcPr>
            <w:tcW w:w="562" w:type="dxa"/>
          </w:tcPr>
          <w:p w14:paraId="7C756F35" w14:textId="6D27A22E" w:rsidR="00392ADC" w:rsidRPr="003E3D66" w:rsidRDefault="00392ADC" w:rsidP="00AA72ED">
            <w:pPr>
              <w:jc w:val="both"/>
              <w:rPr>
                <w:rFonts w:ascii="Times New Roman" w:hAnsi="Times New Roman" w:cs="Times New Roman"/>
                <w:sz w:val="24"/>
                <w:szCs w:val="24"/>
              </w:rPr>
            </w:pPr>
            <w:r w:rsidRPr="003E3D66">
              <w:rPr>
                <w:rFonts w:ascii="Times New Roman" w:hAnsi="Times New Roman" w:cs="Times New Roman"/>
                <w:sz w:val="24"/>
                <w:szCs w:val="24"/>
              </w:rPr>
              <w:t>Jrk nr</w:t>
            </w:r>
          </w:p>
        </w:tc>
        <w:tc>
          <w:tcPr>
            <w:tcW w:w="6946" w:type="dxa"/>
          </w:tcPr>
          <w:p w14:paraId="40382C7B" w14:textId="3A9AE183" w:rsidR="00392ADC" w:rsidRPr="003E3D66" w:rsidRDefault="00392ADC" w:rsidP="00AA72ED">
            <w:pPr>
              <w:jc w:val="both"/>
              <w:rPr>
                <w:rFonts w:ascii="Times New Roman" w:hAnsi="Times New Roman" w:cs="Times New Roman"/>
                <w:sz w:val="24"/>
                <w:szCs w:val="24"/>
              </w:rPr>
            </w:pPr>
            <w:r w:rsidRPr="003E3D66">
              <w:rPr>
                <w:rFonts w:ascii="Times New Roman" w:hAnsi="Times New Roman" w:cs="Times New Roman"/>
                <w:b/>
                <w:bCs/>
                <w:sz w:val="24"/>
                <w:szCs w:val="24"/>
              </w:rPr>
              <w:t>Ettepaneku/märkuse sisu</w:t>
            </w:r>
          </w:p>
        </w:tc>
        <w:tc>
          <w:tcPr>
            <w:tcW w:w="2268" w:type="dxa"/>
          </w:tcPr>
          <w:p w14:paraId="460F37A3" w14:textId="7A10BE9A" w:rsidR="00392ADC" w:rsidRPr="003E3D66" w:rsidRDefault="00392ADC" w:rsidP="00AA72ED">
            <w:pPr>
              <w:jc w:val="both"/>
              <w:rPr>
                <w:rFonts w:ascii="Times New Roman" w:hAnsi="Times New Roman" w:cs="Times New Roman"/>
                <w:sz w:val="24"/>
                <w:szCs w:val="24"/>
              </w:rPr>
            </w:pPr>
            <w:r w:rsidRPr="003E3D66">
              <w:rPr>
                <w:rFonts w:ascii="Times New Roman" w:hAnsi="Times New Roman" w:cs="Times New Roman"/>
                <w:b/>
                <w:bCs/>
                <w:sz w:val="24"/>
                <w:szCs w:val="24"/>
              </w:rPr>
              <w:t>Arvestatud/ mittearvestatud</w:t>
            </w:r>
          </w:p>
        </w:tc>
        <w:tc>
          <w:tcPr>
            <w:tcW w:w="4218" w:type="dxa"/>
          </w:tcPr>
          <w:p w14:paraId="50D63098" w14:textId="74588064" w:rsidR="00392ADC" w:rsidRPr="003E3D66" w:rsidRDefault="00392ADC" w:rsidP="00AA72ED">
            <w:pPr>
              <w:jc w:val="both"/>
              <w:rPr>
                <w:rFonts w:ascii="Times New Roman" w:hAnsi="Times New Roman" w:cs="Times New Roman"/>
                <w:sz w:val="24"/>
                <w:szCs w:val="24"/>
              </w:rPr>
            </w:pPr>
            <w:r w:rsidRPr="003E3D66">
              <w:rPr>
                <w:rFonts w:ascii="Times New Roman" w:hAnsi="Times New Roman" w:cs="Times New Roman"/>
                <w:b/>
                <w:bCs/>
                <w:sz w:val="24"/>
                <w:szCs w:val="24"/>
              </w:rPr>
              <w:t>Kommentaarid</w:t>
            </w:r>
          </w:p>
        </w:tc>
      </w:tr>
      <w:tr w:rsidR="0059793B" w:rsidRPr="00110EE7" w14:paraId="47DD77BD" w14:textId="77777777" w:rsidTr="00AA72ED">
        <w:tc>
          <w:tcPr>
            <w:tcW w:w="562" w:type="dxa"/>
          </w:tcPr>
          <w:p w14:paraId="7C8D41D6" w14:textId="120EE989" w:rsidR="0059793B" w:rsidRPr="00110EE7" w:rsidRDefault="00110EE7" w:rsidP="00AA72ED">
            <w:pPr>
              <w:jc w:val="both"/>
              <w:rPr>
                <w:rFonts w:ascii="Times New Roman" w:hAnsi="Times New Roman" w:cs="Times New Roman"/>
                <w:sz w:val="24"/>
                <w:szCs w:val="24"/>
              </w:rPr>
            </w:pPr>
            <w:r w:rsidRPr="00110EE7">
              <w:rPr>
                <w:rFonts w:ascii="Times New Roman" w:hAnsi="Times New Roman" w:cs="Times New Roman"/>
                <w:sz w:val="24"/>
                <w:szCs w:val="24"/>
              </w:rPr>
              <w:t>1.</w:t>
            </w:r>
          </w:p>
        </w:tc>
        <w:tc>
          <w:tcPr>
            <w:tcW w:w="6946" w:type="dxa"/>
          </w:tcPr>
          <w:p w14:paraId="5BC33423" w14:textId="77777777" w:rsidR="00110EE7" w:rsidRPr="00FB7554" w:rsidRDefault="00110EE7" w:rsidP="00110EE7">
            <w:pPr>
              <w:pStyle w:val="Vahedeta"/>
              <w:jc w:val="both"/>
              <w:rPr>
                <w:rFonts w:ascii="Times New Roman" w:hAnsi="Times New Roman" w:cs="Times New Roman"/>
                <w:sz w:val="24"/>
                <w:szCs w:val="24"/>
              </w:rPr>
            </w:pPr>
            <w:r w:rsidRPr="00FB7554">
              <w:rPr>
                <w:rFonts w:ascii="Times New Roman" w:hAnsi="Times New Roman" w:cs="Times New Roman"/>
                <w:b/>
                <w:bCs/>
                <w:sz w:val="24"/>
                <w:szCs w:val="24"/>
              </w:rPr>
              <w:t xml:space="preserve">Põhiseaduspärasuse analüüs </w:t>
            </w:r>
            <w:r w:rsidRPr="00FB7554">
              <w:rPr>
                <w:rFonts w:ascii="Times New Roman" w:hAnsi="Times New Roman" w:cs="Times New Roman"/>
                <w:sz w:val="24"/>
                <w:szCs w:val="24"/>
              </w:rPr>
              <w:t xml:space="preserve">– kuivõrd eelnõuga täiendatakse isikute pädevusnõudeid – lisaks fluoritud kasvuhoonegaaside käitlejatele seatakse nõuded ka nende alternatiive (CO2, NH3 ja süsivesinikud) käitlevatele isikutele – ennekõike nende kasutamisel ohutuse tagamiseks ning lisatakse pädevusnõuded külmikkergsõidukite, konteinerite, sh külmutuskonteinerite ja rongivagunite külmutusseadmete käitlejatele, siis palume eelnõu seletuskirja </w:t>
            </w:r>
            <w:r w:rsidRPr="00FB7554">
              <w:rPr>
                <w:rFonts w:ascii="Times New Roman" w:hAnsi="Times New Roman" w:cs="Times New Roman"/>
                <w:sz w:val="24"/>
                <w:szCs w:val="24"/>
              </w:rPr>
              <w:lastRenderedPageBreak/>
              <w:t xml:space="preserve">täiendada ka põhiseaduspärasuse analüüsiga, et oleks võimalik hinnata eelnõu põhiseaduspärasust. </w:t>
            </w:r>
          </w:p>
          <w:p w14:paraId="6AB41CEC" w14:textId="77777777" w:rsidR="00110EE7" w:rsidRPr="00FB7554" w:rsidRDefault="00110EE7" w:rsidP="00110EE7">
            <w:pPr>
              <w:pStyle w:val="Vahedeta"/>
              <w:ind w:left="360"/>
              <w:jc w:val="both"/>
              <w:rPr>
                <w:rFonts w:ascii="Times New Roman" w:hAnsi="Times New Roman" w:cs="Times New Roman"/>
                <w:b/>
                <w:bCs/>
                <w:sz w:val="24"/>
                <w:szCs w:val="24"/>
              </w:rPr>
            </w:pPr>
          </w:p>
          <w:p w14:paraId="1AC66D64" w14:textId="77777777" w:rsidR="00110EE7" w:rsidRPr="00FB7554" w:rsidRDefault="00110EE7" w:rsidP="00110EE7">
            <w:pPr>
              <w:pStyle w:val="Vahedeta"/>
              <w:jc w:val="both"/>
              <w:rPr>
                <w:rFonts w:ascii="Times New Roman" w:hAnsi="Times New Roman" w:cs="Times New Roman"/>
                <w:sz w:val="24"/>
                <w:szCs w:val="24"/>
              </w:rPr>
            </w:pPr>
            <w:r w:rsidRPr="00FB7554">
              <w:rPr>
                <w:rFonts w:ascii="Times New Roman" w:hAnsi="Times New Roman" w:cs="Times New Roman"/>
                <w:sz w:val="24"/>
                <w:szCs w:val="24"/>
              </w:rPr>
              <w:t>Lisaks palume arvestada ka haldusjuhisega</w:t>
            </w:r>
            <w:r w:rsidRPr="00FB7554">
              <w:rPr>
                <w:rStyle w:val="Allmrkuseviide"/>
                <w:rFonts w:ascii="Times New Roman" w:hAnsi="Times New Roman" w:cs="Times New Roman"/>
                <w:sz w:val="24"/>
                <w:szCs w:val="24"/>
              </w:rPr>
              <w:footnoteReference w:id="1"/>
            </w:r>
            <w:r w:rsidRPr="00FB7554">
              <w:rPr>
                <w:rFonts w:ascii="Times New Roman" w:hAnsi="Times New Roman" w:cs="Times New Roman"/>
                <w:sz w:val="24"/>
                <w:szCs w:val="24"/>
              </w:rPr>
              <w:t xml:space="preserve"> Euroopa Parlamendi ja Nõukogu direktiivi (EL) 2018/958, 28. juuni 2018, milles käsitletakse uute kutsealasid reguleerivate õigusnormide vastuvõtmisele eelnevat proportsionaalsuse kontrolli, rakendamiseks ning seletuskirja täiendada</w:t>
            </w:r>
            <w:r w:rsidRPr="00FB7554">
              <w:rPr>
                <w:rFonts w:ascii="Times New Roman" w:hAnsi="Times New Roman" w:cs="Times New Roman"/>
                <w:b/>
                <w:bCs/>
                <w:sz w:val="24"/>
                <w:szCs w:val="24"/>
              </w:rPr>
              <w:t>.</w:t>
            </w:r>
          </w:p>
          <w:p w14:paraId="5223B7A3" w14:textId="77777777" w:rsidR="0059793B" w:rsidRPr="00FB7554" w:rsidRDefault="0059793B" w:rsidP="00AA72ED">
            <w:pPr>
              <w:jc w:val="both"/>
              <w:rPr>
                <w:rFonts w:ascii="Times New Roman" w:hAnsi="Times New Roman" w:cs="Times New Roman"/>
                <w:b/>
                <w:bCs/>
                <w:sz w:val="24"/>
                <w:szCs w:val="24"/>
              </w:rPr>
            </w:pPr>
          </w:p>
        </w:tc>
        <w:tc>
          <w:tcPr>
            <w:tcW w:w="2268" w:type="dxa"/>
          </w:tcPr>
          <w:p w14:paraId="2BED29E5" w14:textId="77777777" w:rsidR="0059793B" w:rsidRDefault="00FB7554" w:rsidP="00AA72ED">
            <w:pPr>
              <w:jc w:val="both"/>
              <w:rPr>
                <w:rFonts w:ascii="Times New Roman" w:hAnsi="Times New Roman" w:cs="Times New Roman"/>
                <w:sz w:val="24"/>
                <w:szCs w:val="24"/>
              </w:rPr>
            </w:pPr>
            <w:r w:rsidRPr="00FB7554">
              <w:rPr>
                <w:rFonts w:ascii="Times New Roman" w:hAnsi="Times New Roman" w:cs="Times New Roman"/>
                <w:sz w:val="24"/>
                <w:szCs w:val="24"/>
              </w:rPr>
              <w:lastRenderedPageBreak/>
              <w:t>Mitte arvestatud</w:t>
            </w:r>
          </w:p>
          <w:p w14:paraId="69FD9AC7" w14:textId="77777777" w:rsidR="00C35852" w:rsidRDefault="00C35852" w:rsidP="00AA72ED">
            <w:pPr>
              <w:jc w:val="both"/>
              <w:rPr>
                <w:rFonts w:ascii="Times New Roman" w:hAnsi="Times New Roman" w:cs="Times New Roman"/>
                <w:sz w:val="24"/>
                <w:szCs w:val="24"/>
              </w:rPr>
            </w:pPr>
          </w:p>
          <w:p w14:paraId="4558CF54" w14:textId="77777777" w:rsidR="00C35852" w:rsidRDefault="00C35852" w:rsidP="00AA72ED">
            <w:pPr>
              <w:jc w:val="both"/>
              <w:rPr>
                <w:rFonts w:ascii="Times New Roman" w:hAnsi="Times New Roman" w:cs="Times New Roman"/>
                <w:sz w:val="24"/>
                <w:szCs w:val="24"/>
              </w:rPr>
            </w:pPr>
          </w:p>
          <w:p w14:paraId="49596170" w14:textId="77777777" w:rsidR="00C35852" w:rsidRDefault="00C35852" w:rsidP="00AA72ED">
            <w:pPr>
              <w:jc w:val="both"/>
              <w:rPr>
                <w:rFonts w:ascii="Times New Roman" w:hAnsi="Times New Roman" w:cs="Times New Roman"/>
                <w:sz w:val="24"/>
                <w:szCs w:val="24"/>
              </w:rPr>
            </w:pPr>
          </w:p>
          <w:p w14:paraId="26BEB2A2" w14:textId="77777777" w:rsidR="00C35852" w:rsidRDefault="00C35852" w:rsidP="00AA72ED">
            <w:pPr>
              <w:jc w:val="both"/>
              <w:rPr>
                <w:rFonts w:ascii="Times New Roman" w:hAnsi="Times New Roman" w:cs="Times New Roman"/>
                <w:sz w:val="24"/>
                <w:szCs w:val="24"/>
              </w:rPr>
            </w:pPr>
          </w:p>
          <w:p w14:paraId="51C3027F" w14:textId="77777777" w:rsidR="00C35852" w:rsidRDefault="00C35852" w:rsidP="00AA72ED">
            <w:pPr>
              <w:jc w:val="both"/>
              <w:rPr>
                <w:rFonts w:ascii="Times New Roman" w:hAnsi="Times New Roman" w:cs="Times New Roman"/>
                <w:sz w:val="24"/>
                <w:szCs w:val="24"/>
              </w:rPr>
            </w:pPr>
          </w:p>
          <w:p w14:paraId="27D806A7" w14:textId="77777777" w:rsidR="00C35852" w:rsidRDefault="00C35852" w:rsidP="00AA72ED">
            <w:pPr>
              <w:jc w:val="both"/>
              <w:rPr>
                <w:rFonts w:ascii="Times New Roman" w:hAnsi="Times New Roman" w:cs="Times New Roman"/>
                <w:sz w:val="24"/>
                <w:szCs w:val="24"/>
              </w:rPr>
            </w:pPr>
          </w:p>
          <w:p w14:paraId="5AC25AE5" w14:textId="77777777" w:rsidR="00C35852" w:rsidRDefault="00C35852" w:rsidP="00AA72ED">
            <w:pPr>
              <w:jc w:val="both"/>
              <w:rPr>
                <w:rFonts w:ascii="Times New Roman" w:hAnsi="Times New Roman" w:cs="Times New Roman"/>
                <w:sz w:val="24"/>
                <w:szCs w:val="24"/>
              </w:rPr>
            </w:pPr>
          </w:p>
          <w:p w14:paraId="03C35FBF" w14:textId="77777777" w:rsidR="00C35852" w:rsidRDefault="00C35852" w:rsidP="00AA72ED">
            <w:pPr>
              <w:jc w:val="both"/>
              <w:rPr>
                <w:rFonts w:ascii="Times New Roman" w:hAnsi="Times New Roman" w:cs="Times New Roman"/>
                <w:sz w:val="24"/>
                <w:szCs w:val="24"/>
              </w:rPr>
            </w:pPr>
          </w:p>
          <w:p w14:paraId="43CEE87D" w14:textId="77777777" w:rsidR="00C35852" w:rsidRDefault="00C35852" w:rsidP="00AA72ED">
            <w:pPr>
              <w:jc w:val="both"/>
              <w:rPr>
                <w:rFonts w:ascii="Times New Roman" w:hAnsi="Times New Roman" w:cs="Times New Roman"/>
                <w:sz w:val="24"/>
                <w:szCs w:val="24"/>
              </w:rPr>
            </w:pPr>
          </w:p>
          <w:p w14:paraId="3370655E" w14:textId="77777777" w:rsidR="004E2163" w:rsidRDefault="004E2163" w:rsidP="00AA72ED">
            <w:pPr>
              <w:jc w:val="both"/>
              <w:rPr>
                <w:rFonts w:ascii="Times New Roman" w:hAnsi="Times New Roman" w:cs="Times New Roman"/>
                <w:sz w:val="24"/>
                <w:szCs w:val="24"/>
              </w:rPr>
            </w:pPr>
          </w:p>
          <w:p w14:paraId="3F48BCA9" w14:textId="411F57A8" w:rsidR="00C35852" w:rsidRPr="00FB7554" w:rsidRDefault="00C35852" w:rsidP="00AA72ED">
            <w:pPr>
              <w:jc w:val="both"/>
              <w:rPr>
                <w:rFonts w:ascii="Times New Roman" w:hAnsi="Times New Roman" w:cs="Times New Roman"/>
                <w:sz w:val="24"/>
                <w:szCs w:val="24"/>
              </w:rPr>
            </w:pPr>
            <w:r>
              <w:rPr>
                <w:rFonts w:ascii="Times New Roman" w:hAnsi="Times New Roman" w:cs="Times New Roman"/>
                <w:sz w:val="24"/>
                <w:szCs w:val="24"/>
              </w:rPr>
              <w:t>Arvestatud</w:t>
            </w:r>
          </w:p>
        </w:tc>
        <w:tc>
          <w:tcPr>
            <w:tcW w:w="4218" w:type="dxa"/>
          </w:tcPr>
          <w:p w14:paraId="0B2F9D73" w14:textId="77777777" w:rsidR="0059793B" w:rsidRDefault="00FB7554" w:rsidP="00AA72ED">
            <w:pPr>
              <w:jc w:val="both"/>
              <w:rPr>
                <w:rFonts w:ascii="Times New Roman" w:hAnsi="Times New Roman" w:cs="Times New Roman"/>
                <w:sz w:val="24"/>
                <w:szCs w:val="24"/>
              </w:rPr>
            </w:pPr>
            <w:r w:rsidRPr="00FB7554">
              <w:rPr>
                <w:rFonts w:ascii="Times New Roman" w:hAnsi="Times New Roman" w:cs="Times New Roman"/>
                <w:sz w:val="24"/>
                <w:szCs w:val="24"/>
              </w:rPr>
              <w:lastRenderedPageBreak/>
              <w:t xml:space="preserve">Kõik eelnõus kavandatud pädevusnõuded on vajalikud Euroopa Parlamendi ja nõukogu määruste </w:t>
            </w:r>
            <w:r w:rsidR="00D67BC0">
              <w:rPr>
                <w:rFonts w:ascii="Times New Roman" w:hAnsi="Times New Roman" w:cs="Times New Roman"/>
                <w:sz w:val="24"/>
                <w:szCs w:val="24"/>
              </w:rPr>
              <w:t>riigisiseseks rakendamiseks</w:t>
            </w:r>
            <w:r w:rsidRPr="00FB7554">
              <w:rPr>
                <w:rFonts w:ascii="Times New Roman" w:hAnsi="Times New Roman" w:cs="Times New Roman"/>
                <w:sz w:val="24"/>
                <w:szCs w:val="24"/>
              </w:rPr>
              <w:t xml:space="preserve"> ning täiendavaid nõudeid ei kehtestata – sellest tulenevalt ei ole põhiseaduspärasuse analüüs</w:t>
            </w:r>
            <w:r w:rsidR="00D67BC0">
              <w:rPr>
                <w:rFonts w:ascii="Times New Roman" w:hAnsi="Times New Roman" w:cs="Times New Roman"/>
                <w:sz w:val="24"/>
                <w:szCs w:val="24"/>
              </w:rPr>
              <w:t>i</w:t>
            </w:r>
            <w:r w:rsidRPr="00FB7554">
              <w:rPr>
                <w:rFonts w:ascii="Times New Roman" w:hAnsi="Times New Roman" w:cs="Times New Roman"/>
                <w:sz w:val="24"/>
                <w:szCs w:val="24"/>
              </w:rPr>
              <w:t xml:space="preserve"> </w:t>
            </w:r>
            <w:r w:rsidR="00D67BC0">
              <w:rPr>
                <w:rFonts w:ascii="Times New Roman" w:hAnsi="Times New Roman" w:cs="Times New Roman"/>
                <w:sz w:val="24"/>
                <w:szCs w:val="24"/>
              </w:rPr>
              <w:t>vaja teha</w:t>
            </w:r>
            <w:r w:rsidRPr="00FB7554">
              <w:rPr>
                <w:rFonts w:ascii="Times New Roman" w:hAnsi="Times New Roman" w:cs="Times New Roman"/>
                <w:sz w:val="24"/>
                <w:szCs w:val="24"/>
              </w:rPr>
              <w:t>.</w:t>
            </w:r>
          </w:p>
          <w:p w14:paraId="7B004D28" w14:textId="77777777" w:rsidR="003E33BC" w:rsidRDefault="003E33BC" w:rsidP="00AA72ED">
            <w:pPr>
              <w:jc w:val="both"/>
              <w:rPr>
                <w:rFonts w:ascii="Times New Roman" w:hAnsi="Times New Roman" w:cs="Times New Roman"/>
                <w:sz w:val="24"/>
                <w:szCs w:val="24"/>
              </w:rPr>
            </w:pPr>
          </w:p>
          <w:p w14:paraId="038225E8" w14:textId="77777777" w:rsidR="003E33BC" w:rsidRDefault="003E33BC" w:rsidP="00AA72ED">
            <w:pPr>
              <w:jc w:val="both"/>
              <w:rPr>
                <w:rFonts w:ascii="Times New Roman" w:hAnsi="Times New Roman" w:cs="Times New Roman"/>
                <w:sz w:val="24"/>
                <w:szCs w:val="24"/>
              </w:rPr>
            </w:pPr>
          </w:p>
          <w:p w14:paraId="7A21BA2B" w14:textId="77777777" w:rsidR="003E33BC" w:rsidRDefault="003E33BC" w:rsidP="00AA72ED">
            <w:pPr>
              <w:jc w:val="both"/>
              <w:rPr>
                <w:rFonts w:ascii="Times New Roman" w:hAnsi="Times New Roman" w:cs="Times New Roman"/>
                <w:sz w:val="24"/>
                <w:szCs w:val="24"/>
              </w:rPr>
            </w:pPr>
          </w:p>
          <w:p w14:paraId="6522E392" w14:textId="77777777" w:rsidR="003E33BC" w:rsidRDefault="003E33BC" w:rsidP="00AA72ED">
            <w:pPr>
              <w:jc w:val="both"/>
              <w:rPr>
                <w:rFonts w:ascii="Times New Roman" w:hAnsi="Times New Roman" w:cs="Times New Roman"/>
                <w:sz w:val="24"/>
                <w:szCs w:val="24"/>
              </w:rPr>
            </w:pPr>
          </w:p>
          <w:p w14:paraId="2A6B1C79" w14:textId="77777777" w:rsidR="003E33BC" w:rsidRDefault="003E33BC" w:rsidP="00AA72ED">
            <w:pPr>
              <w:jc w:val="both"/>
              <w:rPr>
                <w:rFonts w:ascii="Times New Roman" w:hAnsi="Times New Roman" w:cs="Times New Roman"/>
                <w:sz w:val="24"/>
                <w:szCs w:val="24"/>
              </w:rPr>
            </w:pPr>
          </w:p>
          <w:p w14:paraId="647A6E11" w14:textId="7A47FC67" w:rsidR="003E33BC" w:rsidRPr="00FB7554" w:rsidRDefault="003E33BC" w:rsidP="00AA72ED">
            <w:pPr>
              <w:jc w:val="both"/>
              <w:rPr>
                <w:rFonts w:ascii="Times New Roman" w:hAnsi="Times New Roman" w:cs="Times New Roman"/>
                <w:sz w:val="24"/>
                <w:szCs w:val="24"/>
              </w:rPr>
            </w:pPr>
            <w:r w:rsidRPr="003E33BC">
              <w:rPr>
                <w:rFonts w:ascii="Times New Roman" w:hAnsi="Times New Roman" w:cs="Times New Roman"/>
                <w:sz w:val="24"/>
                <w:szCs w:val="24"/>
              </w:rPr>
              <w:t>Täiendatud eelnõu seletuskirja sisukokkuvõtet.</w:t>
            </w:r>
          </w:p>
        </w:tc>
      </w:tr>
      <w:tr w:rsidR="0059793B" w:rsidRPr="00110EE7" w14:paraId="3E076278" w14:textId="77777777" w:rsidTr="00AA72ED">
        <w:tc>
          <w:tcPr>
            <w:tcW w:w="562" w:type="dxa"/>
          </w:tcPr>
          <w:p w14:paraId="4DD413C1" w14:textId="1BCCD43D" w:rsidR="0059793B" w:rsidRPr="00110EE7" w:rsidRDefault="00110EE7" w:rsidP="00AA72ED">
            <w:pPr>
              <w:jc w:val="both"/>
              <w:rPr>
                <w:rFonts w:ascii="Times New Roman" w:hAnsi="Times New Roman" w:cs="Times New Roman"/>
                <w:sz w:val="24"/>
                <w:szCs w:val="24"/>
              </w:rPr>
            </w:pPr>
            <w:r w:rsidRPr="00110EE7">
              <w:rPr>
                <w:rFonts w:ascii="Times New Roman" w:hAnsi="Times New Roman" w:cs="Times New Roman"/>
                <w:sz w:val="24"/>
                <w:szCs w:val="24"/>
              </w:rPr>
              <w:lastRenderedPageBreak/>
              <w:t>2</w:t>
            </w:r>
          </w:p>
        </w:tc>
        <w:tc>
          <w:tcPr>
            <w:tcW w:w="6946" w:type="dxa"/>
          </w:tcPr>
          <w:p w14:paraId="7008A286" w14:textId="77777777" w:rsidR="00110EE7" w:rsidRPr="00110EE7" w:rsidRDefault="00110EE7" w:rsidP="00110EE7">
            <w:pPr>
              <w:pStyle w:val="Vahedeta"/>
              <w:jc w:val="both"/>
              <w:rPr>
                <w:rFonts w:ascii="Times New Roman" w:hAnsi="Times New Roman" w:cs="Times New Roman"/>
                <w:sz w:val="24"/>
                <w:szCs w:val="24"/>
              </w:rPr>
            </w:pPr>
            <w:r w:rsidRPr="00110EE7">
              <w:rPr>
                <w:rFonts w:ascii="Times New Roman" w:hAnsi="Times New Roman" w:cs="Times New Roman"/>
                <w:b/>
                <w:bCs/>
                <w:sz w:val="24"/>
                <w:szCs w:val="24"/>
              </w:rPr>
              <w:t>Halduskoormus –</w:t>
            </w:r>
            <w:r w:rsidRPr="00110EE7">
              <w:rPr>
                <w:rFonts w:ascii="Times New Roman" w:hAnsi="Times New Roman" w:cs="Times New Roman"/>
                <w:sz w:val="24"/>
                <w:szCs w:val="24"/>
              </w:rPr>
              <w:t xml:space="preserve"> alates 25.05.2025 jõustus hea õigusloome ja normitehnika eeskirja (HÕNTE) muudatus, millega kehtestati halduskoormuse tasakaalustamise reegel – iga halduskoormust suurendava nõudega tuleb kavandada ka halduskoormust vähendav muudatus (HÕNTE § 1 lg 4</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Reegli rakendamise juhis on kättesaadav meie veebilehel</w:t>
            </w:r>
            <w:r w:rsidRPr="00110EE7">
              <w:rPr>
                <w:rStyle w:val="Allmrkuseviide"/>
                <w:rFonts w:ascii="Times New Roman" w:hAnsi="Times New Roman" w:cs="Times New Roman"/>
                <w:sz w:val="24"/>
                <w:szCs w:val="24"/>
              </w:rPr>
              <w:footnoteReference w:id="2"/>
            </w:r>
            <w:r w:rsidRPr="00110EE7">
              <w:rPr>
                <w:rFonts w:ascii="Times New Roman" w:hAnsi="Times New Roman" w:cs="Times New Roman"/>
                <w:sz w:val="24"/>
                <w:szCs w:val="24"/>
              </w:rPr>
              <w:t xml:space="preserve">. </w:t>
            </w:r>
          </w:p>
          <w:p w14:paraId="164FD748" w14:textId="77777777" w:rsidR="00110EE7" w:rsidRPr="00110EE7" w:rsidRDefault="00110EE7" w:rsidP="00110EE7">
            <w:pPr>
              <w:pStyle w:val="Vahedeta"/>
              <w:ind w:left="720"/>
              <w:jc w:val="both"/>
              <w:rPr>
                <w:rFonts w:ascii="Times New Roman" w:hAnsi="Times New Roman" w:cs="Times New Roman"/>
                <w:b/>
                <w:bCs/>
                <w:sz w:val="24"/>
                <w:szCs w:val="24"/>
              </w:rPr>
            </w:pPr>
          </w:p>
          <w:p w14:paraId="1002AE84" w14:textId="77777777" w:rsidR="00110EE7" w:rsidRPr="00110EE7" w:rsidRDefault="00110EE7" w:rsidP="00110EE7">
            <w:pPr>
              <w:pStyle w:val="Vahedeta"/>
              <w:jc w:val="both"/>
              <w:rPr>
                <w:rFonts w:ascii="Times New Roman" w:hAnsi="Times New Roman" w:cs="Times New Roman"/>
                <w:sz w:val="24"/>
                <w:szCs w:val="24"/>
              </w:rPr>
            </w:pPr>
            <w:r w:rsidRPr="00110EE7">
              <w:rPr>
                <w:rFonts w:ascii="Times New Roman" w:hAnsi="Times New Roman" w:cs="Times New Roman"/>
                <w:sz w:val="24"/>
                <w:szCs w:val="24"/>
              </w:rPr>
              <w:t>Sellest muudatusest tulenevalt palume eelnõu seletuskirja sisukokkuvõttes välja tuua, kas halduskoormus suureneb, väheneb või ei muutu ning kui suureneb, siis mille võrra halduskoormust vähendatakse. </w:t>
            </w:r>
          </w:p>
          <w:p w14:paraId="5C06B51E" w14:textId="77777777" w:rsidR="0059793B" w:rsidRPr="00110EE7" w:rsidRDefault="0059793B" w:rsidP="00AA72ED">
            <w:pPr>
              <w:jc w:val="both"/>
              <w:rPr>
                <w:rFonts w:ascii="Times New Roman" w:hAnsi="Times New Roman" w:cs="Times New Roman"/>
                <w:b/>
                <w:bCs/>
                <w:sz w:val="24"/>
                <w:szCs w:val="24"/>
              </w:rPr>
            </w:pPr>
          </w:p>
        </w:tc>
        <w:tc>
          <w:tcPr>
            <w:tcW w:w="2268" w:type="dxa"/>
          </w:tcPr>
          <w:p w14:paraId="085F3038" w14:textId="465C869E" w:rsidR="0059793B" w:rsidRPr="00110EE7" w:rsidRDefault="00110EE7" w:rsidP="00AA72ED">
            <w:pPr>
              <w:jc w:val="both"/>
              <w:rPr>
                <w:rFonts w:ascii="Times New Roman" w:hAnsi="Times New Roman" w:cs="Times New Roman"/>
                <w:sz w:val="24"/>
                <w:szCs w:val="24"/>
              </w:rPr>
            </w:pPr>
            <w:r w:rsidRPr="00110EE7">
              <w:rPr>
                <w:rFonts w:ascii="Times New Roman" w:hAnsi="Times New Roman" w:cs="Times New Roman"/>
                <w:sz w:val="24"/>
                <w:szCs w:val="24"/>
              </w:rPr>
              <w:t>Arvestatud</w:t>
            </w:r>
          </w:p>
        </w:tc>
        <w:tc>
          <w:tcPr>
            <w:tcW w:w="4218" w:type="dxa"/>
          </w:tcPr>
          <w:p w14:paraId="46C99289" w14:textId="79F2623B" w:rsidR="0059793B" w:rsidRPr="00110EE7" w:rsidRDefault="003E33BC" w:rsidP="00AA72ED">
            <w:pPr>
              <w:jc w:val="both"/>
              <w:rPr>
                <w:rFonts w:ascii="Times New Roman" w:hAnsi="Times New Roman" w:cs="Times New Roman"/>
                <w:sz w:val="24"/>
                <w:szCs w:val="24"/>
              </w:rPr>
            </w:pPr>
            <w:r w:rsidRPr="003E33BC">
              <w:rPr>
                <w:rFonts w:ascii="Times New Roman" w:hAnsi="Times New Roman" w:cs="Times New Roman"/>
                <w:sz w:val="24"/>
                <w:szCs w:val="24"/>
              </w:rPr>
              <w:t>Täiendatud eelnõu seletuskirja sisukokkuvõtet.</w:t>
            </w:r>
          </w:p>
        </w:tc>
      </w:tr>
      <w:tr w:rsidR="000D6DF0" w:rsidRPr="00110EE7" w14:paraId="01E95A7D" w14:textId="77777777" w:rsidTr="00AA72ED">
        <w:tc>
          <w:tcPr>
            <w:tcW w:w="562" w:type="dxa"/>
          </w:tcPr>
          <w:p w14:paraId="60EBDD35" w14:textId="09E602DB"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t>3</w:t>
            </w:r>
          </w:p>
        </w:tc>
        <w:tc>
          <w:tcPr>
            <w:tcW w:w="6946" w:type="dxa"/>
          </w:tcPr>
          <w:p w14:paraId="58084661" w14:textId="77777777" w:rsidR="000D6DF0" w:rsidRPr="003478C0" w:rsidRDefault="000D6DF0" w:rsidP="000D6DF0">
            <w:pPr>
              <w:pStyle w:val="Vahedeta"/>
              <w:jc w:val="both"/>
              <w:rPr>
                <w:rFonts w:ascii="Times New Roman" w:eastAsia="Arial" w:hAnsi="Times New Roman" w:cs="Times New Roman"/>
                <w:sz w:val="24"/>
                <w:szCs w:val="24"/>
              </w:rPr>
            </w:pPr>
            <w:r w:rsidRPr="003478C0">
              <w:rPr>
                <w:rFonts w:ascii="Times New Roman" w:eastAsia="Arial" w:hAnsi="Times New Roman" w:cs="Times New Roman"/>
                <w:b/>
                <w:bCs/>
                <w:sz w:val="24"/>
                <w:szCs w:val="24"/>
              </w:rPr>
              <w:t>Eelnõu § 1 p 28 (AÕKS § 223 lg- d3 ja 4) –</w:t>
            </w:r>
            <w:r w:rsidRPr="003478C0">
              <w:rPr>
                <w:rFonts w:ascii="Times New Roman" w:eastAsia="Arial" w:hAnsi="Times New Roman" w:cs="Times New Roman"/>
                <w:sz w:val="24"/>
                <w:szCs w:val="24"/>
              </w:rPr>
              <w:t xml:space="preserve"> eelnõu kohaselt saab korrakaitseorgan õiguse keelata ajutiselt fluoritud kasvuhoonegaaside, osoonikihti kahandavate ainete või neid gaase sisaldavate või neil põhinevate toodete ja seadmete kasutamine, tootmine, import, eksport või turule laskmine, kui tegemist on EL viidatud määruste raske või korduva rikkumisega. </w:t>
            </w:r>
          </w:p>
          <w:p w14:paraId="5080D843" w14:textId="77777777" w:rsidR="000D6DF0" w:rsidRPr="003478C0" w:rsidRDefault="000D6DF0" w:rsidP="000D6DF0">
            <w:pPr>
              <w:pStyle w:val="Vahedeta"/>
              <w:ind w:left="720"/>
              <w:jc w:val="both"/>
              <w:rPr>
                <w:rFonts w:ascii="Times New Roman" w:eastAsia="Arial" w:hAnsi="Times New Roman" w:cs="Times New Roman"/>
                <w:sz w:val="24"/>
                <w:szCs w:val="24"/>
              </w:rPr>
            </w:pPr>
          </w:p>
          <w:p w14:paraId="79F55582" w14:textId="77777777" w:rsidR="000D6DF0" w:rsidRPr="003478C0" w:rsidRDefault="000D6DF0" w:rsidP="000D6DF0">
            <w:pPr>
              <w:pStyle w:val="Vahedeta"/>
              <w:jc w:val="both"/>
              <w:rPr>
                <w:rFonts w:ascii="Times New Roman" w:eastAsia="Arial" w:hAnsi="Times New Roman" w:cs="Times New Roman"/>
                <w:sz w:val="24"/>
                <w:szCs w:val="24"/>
              </w:rPr>
            </w:pPr>
            <w:r w:rsidRPr="003478C0">
              <w:rPr>
                <w:rFonts w:ascii="Times New Roman" w:eastAsia="Arial" w:hAnsi="Times New Roman" w:cs="Times New Roman"/>
                <w:sz w:val="24"/>
                <w:szCs w:val="24"/>
              </w:rPr>
              <w:t xml:space="preserve">Leiame, et norm on sekkumise võimalikku intensiivsust arvestades liialt üldine – normist ega ka seletuskirjast ei selgu, mida peetakse EL </w:t>
            </w:r>
            <w:r w:rsidRPr="003478C0">
              <w:rPr>
                <w:rFonts w:ascii="Times New Roman" w:eastAsia="Arial" w:hAnsi="Times New Roman" w:cs="Times New Roman"/>
                <w:sz w:val="24"/>
                <w:szCs w:val="24"/>
              </w:rPr>
              <w:lastRenderedPageBreak/>
              <w:t xml:space="preserve">määruste raskeks rikkumiseks, samuti ei anna säte ajutise keelamise otsustamiseks mingeid piire. Seletuskirja kohaselt on ajutise keelamise „eesmärk /…/ korduvate rikkumiste puhul võimaldada lisameetmeid trahvile, mis vähendaks rikkuja kasu saamist ja suunaks nõuete täitmisele.“. </w:t>
            </w:r>
          </w:p>
          <w:p w14:paraId="53DE4DE4" w14:textId="77777777" w:rsidR="000D6DF0" w:rsidRPr="003478C0" w:rsidRDefault="000D6DF0" w:rsidP="000D6DF0">
            <w:pPr>
              <w:pStyle w:val="Vahedeta"/>
              <w:ind w:left="720"/>
              <w:jc w:val="both"/>
              <w:rPr>
                <w:rFonts w:ascii="Times New Roman" w:eastAsia="Arial" w:hAnsi="Times New Roman" w:cs="Times New Roman"/>
                <w:sz w:val="24"/>
                <w:szCs w:val="24"/>
              </w:rPr>
            </w:pPr>
          </w:p>
          <w:p w14:paraId="125F12CD" w14:textId="77777777" w:rsidR="000D6DF0" w:rsidRPr="003478C0" w:rsidRDefault="000D6DF0" w:rsidP="000D6DF0">
            <w:pPr>
              <w:pStyle w:val="Vahedeta"/>
              <w:jc w:val="both"/>
              <w:rPr>
                <w:rFonts w:ascii="Times New Roman" w:eastAsia="Arial" w:hAnsi="Times New Roman" w:cs="Times New Roman"/>
                <w:sz w:val="24"/>
                <w:szCs w:val="24"/>
              </w:rPr>
            </w:pPr>
            <w:r w:rsidRPr="003478C0">
              <w:rPr>
                <w:rFonts w:ascii="Times New Roman" w:eastAsia="Arial" w:hAnsi="Times New Roman" w:cs="Times New Roman"/>
                <w:sz w:val="24"/>
                <w:szCs w:val="24"/>
              </w:rPr>
              <w:t xml:space="preserve">Juhime tähelepanu, et korrakaitselise meetme (ajutine keelamine on sätestatud korrakaitseorgani erimeetmena) rakendamise eesmärk peab olema ohu tõrjumine või korrarikkumise kõrvaldamine. Meetme eesmärk ei saa olla karistamine või kasu saamise takistamine. Samuti palume kaaluda, kas iseseisva sätte loomine teatud tegevuste ajutiseks keelamiseks on vajalik arvestades, et majandustegevuse seadustiku üldosa seadus (MsüS) sätestab majandustegevuse keelamise ning majandustegevuse ja tegevusloa peatamise alused. </w:t>
            </w:r>
          </w:p>
          <w:p w14:paraId="6460F652" w14:textId="77777777" w:rsidR="000D6DF0" w:rsidRPr="003478C0" w:rsidRDefault="000D6DF0" w:rsidP="000D6DF0">
            <w:pPr>
              <w:pStyle w:val="Vahedeta"/>
              <w:ind w:left="720"/>
              <w:jc w:val="both"/>
              <w:rPr>
                <w:rFonts w:ascii="Times New Roman" w:eastAsia="Arial" w:hAnsi="Times New Roman" w:cs="Times New Roman"/>
                <w:sz w:val="24"/>
                <w:szCs w:val="24"/>
              </w:rPr>
            </w:pPr>
          </w:p>
          <w:p w14:paraId="76D69C4D" w14:textId="77777777" w:rsidR="000D6DF0" w:rsidRPr="003478C0" w:rsidRDefault="000D6DF0" w:rsidP="000D6DF0">
            <w:pPr>
              <w:pStyle w:val="Vahedeta"/>
              <w:jc w:val="both"/>
              <w:rPr>
                <w:rFonts w:ascii="Times New Roman" w:eastAsia="Arial" w:hAnsi="Times New Roman" w:cs="Times New Roman"/>
                <w:sz w:val="24"/>
                <w:szCs w:val="24"/>
              </w:rPr>
            </w:pPr>
            <w:r w:rsidRPr="003478C0">
              <w:rPr>
                <w:rFonts w:ascii="Times New Roman" w:eastAsia="Arial" w:hAnsi="Times New Roman" w:cs="Times New Roman"/>
                <w:sz w:val="24"/>
                <w:szCs w:val="24"/>
              </w:rPr>
              <w:t>Lisaks palume üle vaadata lõike 4 selgitused seletuskirjas. Nimelt viidatakse seletuskirjas vaid EL määrusele 2024/573 ning ajutise keelamise alusena tuuakse vaid määruse nõuete korduv rikkumine. Sätte kohaselt võidaks ajutist keelamist kasutada ka esimese aga raske rikkumise korral, samuti viitab säte kahele EL määrusele. Palume säte ja seletuskiri omavahel kooskõlla viia.</w:t>
            </w:r>
          </w:p>
          <w:p w14:paraId="53922F97" w14:textId="77777777" w:rsidR="000D6DF0" w:rsidRPr="003478C0" w:rsidRDefault="000D6DF0" w:rsidP="000D6DF0">
            <w:pPr>
              <w:jc w:val="both"/>
              <w:rPr>
                <w:rFonts w:ascii="Times New Roman" w:hAnsi="Times New Roman" w:cs="Times New Roman"/>
                <w:b/>
                <w:bCs/>
                <w:sz w:val="24"/>
                <w:szCs w:val="24"/>
              </w:rPr>
            </w:pPr>
          </w:p>
        </w:tc>
        <w:tc>
          <w:tcPr>
            <w:tcW w:w="2268" w:type="dxa"/>
          </w:tcPr>
          <w:p w14:paraId="2749143B" w14:textId="490A0856" w:rsidR="000D6DF0" w:rsidRDefault="000D6DF0" w:rsidP="000D6DF0">
            <w:pPr>
              <w:jc w:val="both"/>
              <w:rPr>
                <w:rFonts w:ascii="Times New Roman" w:hAnsi="Times New Roman" w:cs="Times New Roman"/>
                <w:sz w:val="24"/>
                <w:szCs w:val="24"/>
              </w:rPr>
            </w:pPr>
            <w:r w:rsidRPr="003478C0">
              <w:rPr>
                <w:rFonts w:ascii="Times New Roman" w:hAnsi="Times New Roman" w:cs="Times New Roman"/>
                <w:sz w:val="24"/>
                <w:szCs w:val="24"/>
              </w:rPr>
              <w:lastRenderedPageBreak/>
              <w:t>Arvestatud</w:t>
            </w:r>
            <w:r>
              <w:rPr>
                <w:rFonts w:ascii="Times New Roman" w:hAnsi="Times New Roman" w:cs="Times New Roman"/>
                <w:sz w:val="24"/>
                <w:szCs w:val="24"/>
              </w:rPr>
              <w:t xml:space="preserve"> </w:t>
            </w:r>
          </w:p>
          <w:p w14:paraId="679ED401" w14:textId="77777777" w:rsidR="000D6DF0" w:rsidRDefault="000D6DF0" w:rsidP="000D6DF0">
            <w:pPr>
              <w:jc w:val="both"/>
              <w:rPr>
                <w:rFonts w:ascii="Times New Roman" w:hAnsi="Times New Roman" w:cs="Times New Roman"/>
                <w:sz w:val="24"/>
                <w:szCs w:val="24"/>
              </w:rPr>
            </w:pPr>
          </w:p>
          <w:p w14:paraId="4872C9E5" w14:textId="77777777" w:rsidR="000D6DF0" w:rsidRDefault="000D6DF0" w:rsidP="000D6DF0">
            <w:pPr>
              <w:jc w:val="both"/>
              <w:rPr>
                <w:rFonts w:ascii="Times New Roman" w:hAnsi="Times New Roman" w:cs="Times New Roman"/>
                <w:sz w:val="24"/>
                <w:szCs w:val="24"/>
              </w:rPr>
            </w:pPr>
          </w:p>
          <w:p w14:paraId="5D890D45" w14:textId="77777777" w:rsidR="000D6DF0" w:rsidRDefault="000D6DF0" w:rsidP="000D6DF0">
            <w:pPr>
              <w:jc w:val="both"/>
              <w:rPr>
                <w:rFonts w:ascii="Times New Roman" w:hAnsi="Times New Roman" w:cs="Times New Roman"/>
                <w:sz w:val="24"/>
                <w:szCs w:val="24"/>
              </w:rPr>
            </w:pPr>
          </w:p>
          <w:p w14:paraId="5A15D4DD" w14:textId="77777777" w:rsidR="000D6DF0" w:rsidRDefault="000D6DF0" w:rsidP="000D6DF0">
            <w:pPr>
              <w:jc w:val="both"/>
              <w:rPr>
                <w:rFonts w:ascii="Times New Roman" w:hAnsi="Times New Roman" w:cs="Times New Roman"/>
                <w:sz w:val="24"/>
                <w:szCs w:val="24"/>
              </w:rPr>
            </w:pPr>
          </w:p>
          <w:p w14:paraId="3A3E26DF" w14:textId="77777777" w:rsidR="000D6DF0" w:rsidRDefault="000D6DF0" w:rsidP="000D6DF0">
            <w:pPr>
              <w:jc w:val="both"/>
              <w:rPr>
                <w:rFonts w:ascii="Times New Roman" w:hAnsi="Times New Roman" w:cs="Times New Roman"/>
                <w:sz w:val="24"/>
                <w:szCs w:val="24"/>
              </w:rPr>
            </w:pPr>
          </w:p>
          <w:p w14:paraId="426A2978" w14:textId="77777777" w:rsidR="000D6DF0" w:rsidRDefault="000D6DF0" w:rsidP="000D6DF0">
            <w:pPr>
              <w:jc w:val="both"/>
              <w:rPr>
                <w:rFonts w:ascii="Times New Roman" w:hAnsi="Times New Roman" w:cs="Times New Roman"/>
                <w:sz w:val="24"/>
                <w:szCs w:val="24"/>
              </w:rPr>
            </w:pPr>
          </w:p>
          <w:p w14:paraId="2C1D92BB" w14:textId="77777777" w:rsidR="000D6DF0" w:rsidRDefault="000D6DF0" w:rsidP="000D6DF0">
            <w:pPr>
              <w:jc w:val="both"/>
              <w:rPr>
                <w:rFonts w:ascii="Times New Roman" w:hAnsi="Times New Roman" w:cs="Times New Roman"/>
                <w:sz w:val="24"/>
                <w:szCs w:val="24"/>
              </w:rPr>
            </w:pPr>
          </w:p>
          <w:p w14:paraId="068D174E" w14:textId="77777777" w:rsidR="000D6DF0" w:rsidRDefault="000D6DF0" w:rsidP="000D6DF0">
            <w:pPr>
              <w:jc w:val="both"/>
              <w:rPr>
                <w:rFonts w:ascii="Times New Roman" w:hAnsi="Times New Roman" w:cs="Times New Roman"/>
                <w:sz w:val="24"/>
                <w:szCs w:val="24"/>
              </w:rPr>
            </w:pPr>
          </w:p>
          <w:p w14:paraId="6BCA68A5" w14:textId="77777777" w:rsidR="000D6DF0" w:rsidRDefault="000D6DF0" w:rsidP="000D6DF0">
            <w:pPr>
              <w:jc w:val="both"/>
              <w:rPr>
                <w:rFonts w:ascii="Times New Roman" w:hAnsi="Times New Roman" w:cs="Times New Roman"/>
                <w:sz w:val="24"/>
                <w:szCs w:val="24"/>
              </w:rPr>
            </w:pPr>
          </w:p>
          <w:p w14:paraId="051ECCA8" w14:textId="77777777" w:rsidR="000D6DF0" w:rsidRDefault="000D6DF0" w:rsidP="000D6DF0">
            <w:pPr>
              <w:jc w:val="both"/>
              <w:rPr>
                <w:rFonts w:ascii="Times New Roman" w:hAnsi="Times New Roman" w:cs="Times New Roman"/>
                <w:sz w:val="24"/>
                <w:szCs w:val="24"/>
              </w:rPr>
            </w:pPr>
          </w:p>
          <w:p w14:paraId="5942C0B6" w14:textId="77777777" w:rsidR="000D6DF0" w:rsidRDefault="000D6DF0" w:rsidP="000D6DF0">
            <w:pPr>
              <w:jc w:val="both"/>
              <w:rPr>
                <w:rFonts w:ascii="Times New Roman" w:hAnsi="Times New Roman" w:cs="Times New Roman"/>
                <w:sz w:val="24"/>
                <w:szCs w:val="24"/>
              </w:rPr>
            </w:pPr>
          </w:p>
          <w:p w14:paraId="09796EBA" w14:textId="77777777" w:rsidR="000D6DF0" w:rsidRDefault="000D6DF0" w:rsidP="000D6DF0">
            <w:pPr>
              <w:jc w:val="both"/>
              <w:rPr>
                <w:rFonts w:ascii="Times New Roman" w:hAnsi="Times New Roman" w:cs="Times New Roman"/>
                <w:sz w:val="24"/>
                <w:szCs w:val="24"/>
              </w:rPr>
            </w:pPr>
          </w:p>
          <w:p w14:paraId="199435D3" w14:textId="77777777" w:rsidR="000D6DF0" w:rsidRDefault="000D6DF0" w:rsidP="000D6DF0">
            <w:pPr>
              <w:jc w:val="both"/>
              <w:rPr>
                <w:rFonts w:ascii="Times New Roman" w:hAnsi="Times New Roman" w:cs="Times New Roman"/>
                <w:sz w:val="24"/>
                <w:szCs w:val="24"/>
              </w:rPr>
            </w:pPr>
          </w:p>
          <w:p w14:paraId="71281B90" w14:textId="77777777" w:rsidR="000D6DF0" w:rsidRDefault="000D6DF0" w:rsidP="000D6DF0">
            <w:pPr>
              <w:jc w:val="both"/>
              <w:rPr>
                <w:rFonts w:ascii="Times New Roman" w:hAnsi="Times New Roman" w:cs="Times New Roman"/>
                <w:sz w:val="24"/>
                <w:szCs w:val="24"/>
              </w:rPr>
            </w:pPr>
          </w:p>
          <w:p w14:paraId="2E803ECF" w14:textId="20EE9F17" w:rsidR="000D6DF0" w:rsidRDefault="000D6DF0" w:rsidP="000D6DF0">
            <w:pPr>
              <w:jc w:val="both"/>
              <w:rPr>
                <w:rFonts w:ascii="Times New Roman" w:hAnsi="Times New Roman" w:cs="Times New Roman"/>
                <w:sz w:val="24"/>
                <w:szCs w:val="24"/>
              </w:rPr>
            </w:pPr>
          </w:p>
          <w:p w14:paraId="6EF6EEFA" w14:textId="77777777" w:rsidR="000D6DF0" w:rsidRDefault="000D6DF0" w:rsidP="000D6DF0">
            <w:pPr>
              <w:jc w:val="both"/>
              <w:rPr>
                <w:rFonts w:ascii="Times New Roman" w:hAnsi="Times New Roman" w:cs="Times New Roman"/>
                <w:sz w:val="24"/>
                <w:szCs w:val="24"/>
              </w:rPr>
            </w:pPr>
          </w:p>
          <w:p w14:paraId="0152B761" w14:textId="77777777" w:rsidR="000D6DF0" w:rsidRDefault="000D6DF0" w:rsidP="000D6DF0">
            <w:pPr>
              <w:jc w:val="both"/>
              <w:rPr>
                <w:rFonts w:ascii="Times New Roman" w:hAnsi="Times New Roman" w:cs="Times New Roman"/>
                <w:sz w:val="24"/>
                <w:szCs w:val="24"/>
              </w:rPr>
            </w:pPr>
          </w:p>
          <w:p w14:paraId="4A647FD1" w14:textId="77777777" w:rsidR="000D6DF0" w:rsidRDefault="000D6DF0" w:rsidP="000D6DF0">
            <w:pPr>
              <w:jc w:val="both"/>
              <w:rPr>
                <w:rFonts w:ascii="Times New Roman" w:hAnsi="Times New Roman" w:cs="Times New Roman"/>
                <w:sz w:val="24"/>
                <w:szCs w:val="24"/>
              </w:rPr>
            </w:pPr>
          </w:p>
          <w:p w14:paraId="7E568733" w14:textId="77777777" w:rsidR="000D6DF0" w:rsidRDefault="000D6DF0" w:rsidP="000D6DF0">
            <w:pPr>
              <w:jc w:val="both"/>
              <w:rPr>
                <w:rFonts w:ascii="Times New Roman" w:hAnsi="Times New Roman" w:cs="Times New Roman"/>
                <w:sz w:val="24"/>
                <w:szCs w:val="24"/>
              </w:rPr>
            </w:pPr>
          </w:p>
          <w:p w14:paraId="132FAE9D" w14:textId="77777777" w:rsidR="000D6DF0" w:rsidRDefault="000D6DF0" w:rsidP="000D6DF0">
            <w:pPr>
              <w:jc w:val="both"/>
              <w:rPr>
                <w:rFonts w:ascii="Times New Roman" w:hAnsi="Times New Roman" w:cs="Times New Roman"/>
                <w:sz w:val="24"/>
                <w:szCs w:val="24"/>
              </w:rPr>
            </w:pPr>
          </w:p>
          <w:p w14:paraId="15FDD5FF" w14:textId="77777777" w:rsidR="000D6DF0" w:rsidRDefault="000D6DF0" w:rsidP="000D6DF0">
            <w:pPr>
              <w:jc w:val="both"/>
              <w:rPr>
                <w:rFonts w:ascii="Times New Roman" w:hAnsi="Times New Roman" w:cs="Times New Roman"/>
                <w:sz w:val="24"/>
                <w:szCs w:val="24"/>
              </w:rPr>
            </w:pPr>
          </w:p>
          <w:p w14:paraId="5CAD678B" w14:textId="77777777" w:rsidR="000D6DF0" w:rsidRDefault="000D6DF0" w:rsidP="000D6DF0">
            <w:pPr>
              <w:jc w:val="both"/>
              <w:rPr>
                <w:rFonts w:ascii="Times New Roman" w:hAnsi="Times New Roman" w:cs="Times New Roman"/>
                <w:sz w:val="24"/>
                <w:szCs w:val="24"/>
              </w:rPr>
            </w:pPr>
          </w:p>
          <w:p w14:paraId="6DA636C7" w14:textId="77777777" w:rsidR="000D6DF0" w:rsidRDefault="000D6DF0" w:rsidP="000D6DF0">
            <w:pPr>
              <w:jc w:val="both"/>
              <w:rPr>
                <w:rFonts w:ascii="Times New Roman" w:hAnsi="Times New Roman" w:cs="Times New Roman"/>
                <w:sz w:val="24"/>
                <w:szCs w:val="24"/>
              </w:rPr>
            </w:pPr>
          </w:p>
          <w:p w14:paraId="2A389EEE" w14:textId="6E8D729F" w:rsidR="000D6DF0" w:rsidRPr="003478C0" w:rsidRDefault="000D6DF0" w:rsidP="000D6DF0">
            <w:pPr>
              <w:jc w:val="both"/>
              <w:rPr>
                <w:rFonts w:ascii="Times New Roman" w:hAnsi="Times New Roman" w:cs="Times New Roman"/>
                <w:sz w:val="24"/>
                <w:szCs w:val="24"/>
              </w:rPr>
            </w:pPr>
            <w:r>
              <w:rPr>
                <w:rFonts w:ascii="Times New Roman" w:hAnsi="Times New Roman" w:cs="Times New Roman"/>
                <w:sz w:val="24"/>
                <w:szCs w:val="24"/>
              </w:rPr>
              <w:t>Arvestatud</w:t>
            </w:r>
          </w:p>
        </w:tc>
        <w:tc>
          <w:tcPr>
            <w:tcW w:w="4218" w:type="dxa"/>
          </w:tcPr>
          <w:p w14:paraId="5E200D3A" w14:textId="7DC6E482" w:rsidR="000D6DF0" w:rsidRDefault="000D6DF0" w:rsidP="000D6DF0">
            <w:pPr>
              <w:jc w:val="both"/>
              <w:rPr>
                <w:rFonts w:ascii="Times New Roman" w:hAnsi="Times New Roman" w:cs="Times New Roman"/>
                <w:sz w:val="24"/>
                <w:szCs w:val="24"/>
              </w:rPr>
            </w:pPr>
            <w:r w:rsidRPr="003478C0">
              <w:rPr>
                <w:rFonts w:ascii="Times New Roman" w:hAnsi="Times New Roman" w:cs="Times New Roman"/>
                <w:sz w:val="24"/>
                <w:szCs w:val="24"/>
              </w:rPr>
              <w:lastRenderedPageBreak/>
              <w:t>Säte eemaldatud. Kohaldada saab MsüS §</w:t>
            </w:r>
            <w:r>
              <w:rPr>
                <w:rFonts w:ascii="Times New Roman" w:hAnsi="Times New Roman" w:cs="Times New Roman"/>
                <w:sz w:val="24"/>
                <w:szCs w:val="24"/>
              </w:rPr>
              <w:t>-i</w:t>
            </w:r>
            <w:r w:rsidRPr="003478C0">
              <w:rPr>
                <w:rFonts w:ascii="Times New Roman" w:hAnsi="Times New Roman" w:cs="Times New Roman"/>
                <w:sz w:val="24"/>
                <w:szCs w:val="24"/>
              </w:rPr>
              <w:t xml:space="preserve"> 43</w:t>
            </w:r>
            <w:r>
              <w:rPr>
                <w:rFonts w:ascii="Times New Roman" w:hAnsi="Times New Roman" w:cs="Times New Roman"/>
                <w:sz w:val="24"/>
                <w:szCs w:val="24"/>
              </w:rPr>
              <w:t xml:space="preserve">. Sellega tagatakse EL määruse 2024/573 artikli 23 lõike 3 c ja EL määrus 2024/590 artikli 27 lõike 3 c rakendamine: karistused hõlmavad-  </w:t>
            </w:r>
            <w:r w:rsidRPr="004D2482">
              <w:rPr>
                <w:rFonts w:ascii="Times New Roman" w:hAnsi="Times New Roman" w:cs="Times New Roman"/>
                <w:sz w:val="24"/>
                <w:szCs w:val="24"/>
              </w:rPr>
              <w:t xml:space="preserve">fluoritud kasvuhoonegaaside või neid gaase sisaldavate või neil põhinevate toodete ja seadmete kasutamise, tootmise, impordi, ekspordi või turule laskmise </w:t>
            </w:r>
            <w:r w:rsidRPr="004D2482">
              <w:rPr>
                <w:rFonts w:ascii="Times New Roman" w:hAnsi="Times New Roman" w:cs="Times New Roman"/>
                <w:sz w:val="24"/>
                <w:szCs w:val="24"/>
              </w:rPr>
              <w:lastRenderedPageBreak/>
              <w:t>ajutine keelamine raske rikkumise või korduvate rikkumiste korral.</w:t>
            </w:r>
          </w:p>
          <w:p w14:paraId="0EA8584B" w14:textId="77777777" w:rsidR="000D6DF0" w:rsidRDefault="000D6DF0" w:rsidP="000D6DF0">
            <w:pPr>
              <w:jc w:val="both"/>
              <w:rPr>
                <w:rFonts w:ascii="Times New Roman" w:hAnsi="Times New Roman" w:cs="Times New Roman"/>
                <w:sz w:val="24"/>
                <w:szCs w:val="24"/>
              </w:rPr>
            </w:pPr>
          </w:p>
          <w:p w14:paraId="6B4FF023" w14:textId="77777777" w:rsidR="000D6DF0" w:rsidRDefault="000D6DF0" w:rsidP="000D6DF0">
            <w:pPr>
              <w:jc w:val="both"/>
              <w:rPr>
                <w:rFonts w:ascii="Times New Roman" w:hAnsi="Times New Roman" w:cs="Times New Roman"/>
                <w:sz w:val="24"/>
                <w:szCs w:val="24"/>
              </w:rPr>
            </w:pPr>
            <w:bookmarkStart w:id="0" w:name="_Hlk207276221"/>
            <w:r>
              <w:rPr>
                <w:rFonts w:ascii="Times New Roman" w:hAnsi="Times New Roman" w:cs="Times New Roman"/>
                <w:sz w:val="24"/>
                <w:szCs w:val="24"/>
              </w:rPr>
              <w:t>Selle selgitamiseks on täiendatud seletuskirja lõiguga:</w:t>
            </w:r>
          </w:p>
          <w:p w14:paraId="74BC6613" w14:textId="16214E04" w:rsidR="000D6DF0" w:rsidRDefault="000D6DF0" w:rsidP="000D6DF0">
            <w:pPr>
              <w:jc w:val="both"/>
              <w:rPr>
                <w:rFonts w:ascii="Times New Roman" w:hAnsi="Times New Roman" w:cs="Times New Roman"/>
                <w:sz w:val="24"/>
                <w:szCs w:val="24"/>
              </w:rPr>
            </w:pPr>
            <w:bookmarkStart w:id="1" w:name="_Hlk207196511"/>
            <w:r>
              <w:rPr>
                <w:rFonts w:ascii="Times New Roman" w:hAnsi="Times New Roman" w:cs="Times New Roman"/>
                <w:sz w:val="24"/>
                <w:szCs w:val="24"/>
              </w:rPr>
              <w:t xml:space="preserve">Euroopa Parlamendi ja nõukogu määrus (EL) 2024/572 artikkel 31 lõige 3 c ja määrus (EL) 2024/590 artikkel 27 lõige 3 c kohustab liikmesriike sätestama karistused, mis hõlmavad korduvate või raske rikkumise korral </w:t>
            </w:r>
            <w:r w:rsidRPr="004D2482">
              <w:rPr>
                <w:rFonts w:ascii="Times New Roman" w:hAnsi="Times New Roman" w:cs="Times New Roman"/>
                <w:sz w:val="24"/>
                <w:szCs w:val="24"/>
              </w:rPr>
              <w:t>fluoritud kasvuhoonegaaside või neid gaase sisaldavate või neil põhinevate toodete ja seadmete kasutamise, tootmise, impordi, ekspordi või turule laskmise ajuti</w:t>
            </w:r>
            <w:r>
              <w:rPr>
                <w:rFonts w:ascii="Times New Roman" w:hAnsi="Times New Roman" w:cs="Times New Roman"/>
                <w:sz w:val="24"/>
                <w:szCs w:val="24"/>
              </w:rPr>
              <w:t>st</w:t>
            </w:r>
            <w:r w:rsidRPr="004D2482">
              <w:rPr>
                <w:rFonts w:ascii="Times New Roman" w:hAnsi="Times New Roman" w:cs="Times New Roman"/>
                <w:sz w:val="24"/>
                <w:szCs w:val="24"/>
              </w:rPr>
              <w:t xml:space="preserve"> keelami</w:t>
            </w:r>
            <w:r>
              <w:rPr>
                <w:rFonts w:ascii="Times New Roman" w:hAnsi="Times New Roman" w:cs="Times New Roman"/>
                <w:sz w:val="24"/>
                <w:szCs w:val="24"/>
              </w:rPr>
              <w:t xml:space="preserve">st. </w:t>
            </w:r>
          </w:p>
          <w:p w14:paraId="7AA4CE60" w14:textId="77777777" w:rsidR="000D6DF0" w:rsidRDefault="000D6DF0" w:rsidP="000D6DF0">
            <w:pPr>
              <w:jc w:val="both"/>
              <w:rPr>
                <w:rFonts w:ascii="Times New Roman" w:hAnsi="Times New Roman" w:cs="Times New Roman"/>
                <w:sz w:val="24"/>
                <w:szCs w:val="24"/>
              </w:rPr>
            </w:pPr>
            <w:r>
              <w:rPr>
                <w:rFonts w:ascii="Times New Roman" w:hAnsi="Times New Roman" w:cs="Times New Roman"/>
                <w:sz w:val="24"/>
                <w:szCs w:val="24"/>
              </w:rPr>
              <w:t>Majandustegevuse peatamiseks raskemate või korduvate rikkumiste puhul saab kohaldada</w:t>
            </w:r>
            <w:r w:rsidRPr="003478C0">
              <w:rPr>
                <w:rFonts w:ascii="Times New Roman" w:hAnsi="Times New Roman" w:cs="Times New Roman"/>
                <w:sz w:val="24"/>
                <w:szCs w:val="24"/>
              </w:rPr>
              <w:t xml:space="preserve"> MsüS § 43</w:t>
            </w:r>
            <w:r>
              <w:rPr>
                <w:rFonts w:ascii="Times New Roman" w:hAnsi="Times New Roman" w:cs="Times New Roman"/>
                <w:sz w:val="24"/>
                <w:szCs w:val="24"/>
              </w:rPr>
              <w:t xml:space="preserve"> (m</w:t>
            </w:r>
            <w:r w:rsidRPr="003478C0">
              <w:rPr>
                <w:rFonts w:ascii="Times New Roman" w:hAnsi="Times New Roman" w:cs="Times New Roman"/>
                <w:sz w:val="24"/>
                <w:szCs w:val="24"/>
              </w:rPr>
              <w:t>ajandustegevuse ja tegevusloa peatamine</w:t>
            </w:r>
            <w:r>
              <w:rPr>
                <w:rFonts w:ascii="Times New Roman" w:hAnsi="Times New Roman" w:cs="Times New Roman"/>
                <w:sz w:val="24"/>
                <w:szCs w:val="24"/>
              </w:rPr>
              <w:t>).</w:t>
            </w:r>
          </w:p>
          <w:p w14:paraId="5935D997" w14:textId="1F8E333C" w:rsidR="000D6DF0" w:rsidRPr="003478C0" w:rsidRDefault="000D6DF0" w:rsidP="000D6DF0">
            <w:pPr>
              <w:jc w:val="both"/>
              <w:rPr>
                <w:rFonts w:ascii="Times New Roman" w:hAnsi="Times New Roman" w:cs="Times New Roman"/>
                <w:sz w:val="24"/>
                <w:szCs w:val="24"/>
              </w:rPr>
            </w:pPr>
            <w:r>
              <w:rPr>
                <w:rFonts w:ascii="Times New Roman" w:hAnsi="Times New Roman" w:cs="Times New Roman"/>
                <w:sz w:val="24"/>
                <w:szCs w:val="24"/>
              </w:rPr>
              <w:t>Fluoritud kasvuhoonegaaside valdkonnas põhineb rikkumise raskusaste eelkõige gaaside kogusel ja nende mõjul keskkonnale (globaalse soojenemise potentsiaal (GWP))</w:t>
            </w:r>
            <w:r w:rsidRPr="003478C0">
              <w:rPr>
                <w:rFonts w:ascii="Times New Roman" w:hAnsi="Times New Roman" w:cs="Times New Roman"/>
                <w:sz w:val="24"/>
                <w:szCs w:val="24"/>
              </w:rPr>
              <w:t xml:space="preserve">. </w:t>
            </w:r>
            <w:r>
              <w:rPr>
                <w:rFonts w:ascii="Times New Roman" w:hAnsi="Times New Roman" w:cs="Times New Roman"/>
                <w:sz w:val="24"/>
                <w:szCs w:val="24"/>
              </w:rPr>
              <w:t xml:space="preserve">Mida suurem kogus ainet ja mida suurem GWP, seda raskem rikkumine. Kogust võib lugeda suureks, kui see ületab </w:t>
            </w:r>
            <w:r w:rsidRPr="003478C0">
              <w:rPr>
                <w:rFonts w:ascii="Times New Roman" w:hAnsi="Times New Roman" w:cs="Times New Roman"/>
                <w:sz w:val="24"/>
                <w:szCs w:val="24"/>
              </w:rPr>
              <w:t>10 tonni CO2 ekvivalenti</w:t>
            </w:r>
            <w:r>
              <w:rPr>
                <w:rFonts w:ascii="Times New Roman" w:hAnsi="Times New Roman" w:cs="Times New Roman"/>
                <w:sz w:val="24"/>
                <w:szCs w:val="24"/>
              </w:rPr>
              <w:t xml:space="preserve"> – määrus vabastab alla 10 CO2 ekvivalenttonni sisaldavad seadmed nt aruandlusest.</w:t>
            </w:r>
            <w:bookmarkEnd w:id="1"/>
            <w:bookmarkEnd w:id="0"/>
          </w:p>
        </w:tc>
      </w:tr>
      <w:tr w:rsidR="000D6DF0" w:rsidRPr="00110EE7" w14:paraId="2B55062D" w14:textId="77777777" w:rsidTr="00AA72ED">
        <w:tc>
          <w:tcPr>
            <w:tcW w:w="562" w:type="dxa"/>
          </w:tcPr>
          <w:p w14:paraId="192E6BC5" w14:textId="14EBDB69"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lastRenderedPageBreak/>
              <w:t>4</w:t>
            </w:r>
          </w:p>
        </w:tc>
        <w:tc>
          <w:tcPr>
            <w:tcW w:w="6946" w:type="dxa"/>
          </w:tcPr>
          <w:p w14:paraId="0532A6ED" w14:textId="77777777" w:rsidR="000D6DF0" w:rsidRPr="00110EE7" w:rsidRDefault="000D6DF0" w:rsidP="000D6DF0">
            <w:pPr>
              <w:pStyle w:val="Vahedeta"/>
              <w:jc w:val="both"/>
              <w:rPr>
                <w:rFonts w:ascii="Times New Roman" w:hAnsi="Times New Roman" w:cs="Times New Roman"/>
                <w:sz w:val="24"/>
                <w:szCs w:val="24"/>
              </w:rPr>
            </w:pPr>
            <w:bookmarkStart w:id="2" w:name="_Hlk202510766"/>
            <w:r w:rsidRPr="00110EE7">
              <w:rPr>
                <w:rFonts w:ascii="Times New Roman" w:hAnsi="Times New Roman" w:cs="Times New Roman"/>
                <w:b/>
                <w:bCs/>
                <w:sz w:val="24"/>
                <w:szCs w:val="24"/>
              </w:rPr>
              <w:t>Eelnõu § 2 p 2</w:t>
            </w:r>
            <w:r w:rsidRPr="00110EE7">
              <w:rPr>
                <w:rFonts w:ascii="Times New Roman" w:hAnsi="Times New Roman" w:cs="Times New Roman"/>
                <w:sz w:val="24"/>
                <w:szCs w:val="24"/>
              </w:rPr>
              <w:t xml:space="preserve"> (KarRS § 20 lg 1 p 19) – seletuskirja kohaselt täiendatakse KarRS § 20 lõiget 1 punktiga 19 selliselt, et väärteomenetluses on kohtuvälisel menetlejal ja kohtul võimalik saada karistusregistri arhiivist andmeid, kui menetletava väärteokoosseisu tunnuseks on sama väärteo toimepanek varem kui karistusregistri seaduse § 24 lõike 1 punktis 1 sätestatud karistusandmete registrist kustumise tähtaeg. Selliselt saab vajadusel väärteomenetluses arvestada ka viie aasta taguseid F-gaaside või osoonikihti kahandavate ainete määruse rikkumisi. </w:t>
            </w:r>
          </w:p>
          <w:p w14:paraId="033A7D56" w14:textId="77777777" w:rsidR="000D6DF0" w:rsidRPr="00110EE7" w:rsidRDefault="000D6DF0" w:rsidP="000D6DF0">
            <w:pPr>
              <w:pStyle w:val="Vahedeta"/>
              <w:ind w:left="720"/>
              <w:jc w:val="both"/>
              <w:rPr>
                <w:rFonts w:ascii="Times New Roman" w:hAnsi="Times New Roman" w:cs="Times New Roman"/>
                <w:sz w:val="24"/>
                <w:szCs w:val="24"/>
              </w:rPr>
            </w:pPr>
          </w:p>
          <w:p w14:paraId="75E6F84C"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Mõistame, et Eestil puudub määruse rakendussätete loomisel paindlikkus osas, mis puudutab väärteomenetluses karistuse korduvuse arvestamist (st teatud määrustega ettenähtud rikkumiste puhul tuleb luua võimalus arvestada viie aasta vältel toime pandud rikkumisi). Keeruline on sobitada vastavat nõuet meie õigusruumi, kus üldreeglina aeguvad väärtegude karistusandmed ühe aasta jooksul (KarRS § 24 lg 1 p 1) ja registrisse kantud isiku karistusandmetel on õiguslik tähendus isiku karistatuse ja kuriteo või väärteo korduvuse arvestamisel vaid kuni andmete kustutamiseni, st arhiivi kandmiseni (KarRS § 5 lg 1). </w:t>
            </w:r>
          </w:p>
          <w:p w14:paraId="38D07452" w14:textId="77777777" w:rsidR="000D6DF0" w:rsidRPr="00110EE7" w:rsidRDefault="000D6DF0" w:rsidP="000D6DF0">
            <w:pPr>
              <w:pStyle w:val="Vahedeta"/>
              <w:ind w:left="720"/>
              <w:jc w:val="both"/>
              <w:rPr>
                <w:rFonts w:ascii="Times New Roman" w:hAnsi="Times New Roman" w:cs="Times New Roman"/>
                <w:sz w:val="24"/>
                <w:szCs w:val="24"/>
              </w:rPr>
            </w:pPr>
          </w:p>
          <w:p w14:paraId="300B502C"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Arvestades, et praegu ei ole kohtuvälisel menetlejal ja kohtul väärteomenetluses mitte ühelgi juhul ligipääsu arhiveeritud karistusandmetele, peab seadusest tulenev alus arhiveeritud andmetega tutvumiseks oleme piiritletud väga konkreetsete väärtegudega. Ka isikul, kellel on sedavõrd spetsiifiliste väärteomenetlustega vähene kokkupuude, peab olema registripidaja nimel võimalik kontrollida, kas päringu esitajal on õiguslik alus arhiivi kantud andmetele ligipääsuks. Eeltoodust tulenevalt tuleks väljapakutav KarRS § 20 lõige 1 punkt 19 sõnastada ümber selliselt, et selles oleks konkreetselt välja toodud, milliste (AÕKS) sätete alusel alustatud väärteomenetluste puhul võib menetlejal tekkida õigus esitada karistusregistrile päring arhiveeritud </w:t>
            </w:r>
            <w:r w:rsidRPr="00110EE7">
              <w:rPr>
                <w:rFonts w:ascii="Times New Roman" w:hAnsi="Times New Roman" w:cs="Times New Roman"/>
                <w:sz w:val="24"/>
                <w:szCs w:val="24"/>
              </w:rPr>
              <w:lastRenderedPageBreak/>
              <w:t>andmete saamiseks. Eelnõu kohaselt paistavad need sätted olevat AÕKS §-d 236</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238, 240</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244, 244</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w:t>
            </w:r>
          </w:p>
          <w:p w14:paraId="3D0F6E6B" w14:textId="77777777" w:rsidR="000D6DF0" w:rsidRPr="00110EE7" w:rsidRDefault="000D6DF0" w:rsidP="000D6DF0">
            <w:pPr>
              <w:pStyle w:val="Vahedeta"/>
              <w:ind w:left="360"/>
              <w:jc w:val="both"/>
              <w:rPr>
                <w:rFonts w:ascii="Times New Roman" w:hAnsi="Times New Roman" w:cs="Times New Roman"/>
                <w:sz w:val="24"/>
                <w:szCs w:val="24"/>
              </w:rPr>
            </w:pPr>
          </w:p>
          <w:p w14:paraId="140BCED3"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Eelnõuga laiendatakse isikute ringi, kellel on õigus saada karistusregistri arhiivi andmeid. See isikute ring KarRS §-s 20 ammendavalt loetletud, s.t juurdepääs on selgelt vajaduspõhine ning kitsalt määratletud. Seletuskirjas selgub, et antud juhul võib kohtuvälisel menetlejal või kohtul esineda vajadus pääseda ligi viie aasta tagustele rikkumistele, kuid eelnõus ei sätesta, et muudatusega võimaldatakse menetlejale juurdepääs ainult kuni 5-aasta tagustele karistusandmetele. </w:t>
            </w:r>
          </w:p>
          <w:p w14:paraId="240A20DD" w14:textId="77777777" w:rsidR="000D6DF0" w:rsidRPr="00110EE7" w:rsidRDefault="000D6DF0" w:rsidP="000D6DF0">
            <w:pPr>
              <w:pStyle w:val="Vahedeta"/>
              <w:jc w:val="both"/>
              <w:rPr>
                <w:rFonts w:ascii="Times New Roman" w:hAnsi="Times New Roman" w:cs="Times New Roman"/>
                <w:sz w:val="24"/>
                <w:szCs w:val="24"/>
              </w:rPr>
            </w:pPr>
          </w:p>
          <w:p w14:paraId="339B7835"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KarRS § 24 lg 6 teise lause kohaselt hoitakse väärteoandmeid arhiveerituna 10 aastat, s.t kaks korda sama palju, kui käesoleva muudatuse raames menetlejatele vajalik oleks. Isikuandmete kaitse üldmäärus (IKÜM) art 5 lg 1 p b näeb selgelt ette andmetöötluse eesmärgipiirangu ning ka käesolev eelnõu peab ka sellega arvestama. Seetõttu teeme ettepaneku KarRS § 20 lg 1 </w:t>
            </w:r>
            <w:r w:rsidRPr="00110EE7">
              <w:rPr>
                <w:rFonts w:ascii="Times New Roman" w:hAnsi="Times New Roman" w:cs="Times New Roman"/>
                <w:sz w:val="24"/>
                <w:szCs w:val="24"/>
              </w:rPr>
              <w:br/>
              <w:t>p-i 19 täiendamiseks selliselt, et menetleja juurdepääs karistusregistri andmetele piirduks maksimaalselt vajaliku ajavahemikuga, s.o 5 aastat.</w:t>
            </w:r>
          </w:p>
          <w:p w14:paraId="6E5F4C63" w14:textId="77777777" w:rsidR="000D6DF0" w:rsidRPr="00110EE7" w:rsidRDefault="000D6DF0" w:rsidP="000D6DF0">
            <w:pPr>
              <w:pStyle w:val="Vahedeta"/>
              <w:jc w:val="both"/>
              <w:rPr>
                <w:rFonts w:ascii="Times New Roman" w:hAnsi="Times New Roman" w:cs="Times New Roman"/>
                <w:sz w:val="24"/>
                <w:szCs w:val="24"/>
              </w:rPr>
            </w:pPr>
          </w:p>
          <w:p w14:paraId="59026893"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Samuti piisab, kui anda õigus registrile päringu tegemiseks üksnes kohtuvälisele menetlejale, sest AÕKS-is sätestatud väärteokoosseisude puhul koostab karistusotsuse Keskkonnaamet, kes on kohustatud lähtuma karistuse määramisel AÕKS-i nõuetest, k.a võtma vajadusel arvesse sama rikkumise kordumist viie aasta vältel. Saades põhjendatud juhul ligipääsu isiku arhiveeritud karistusandmetele, lisab kohtuväline menetleja selle teabe väärteotoimikusse, mis edastatakse kohtuvälise menetleja otsuse vaidlustamise korral kohtusse. Sellisel juhul on arhiveeritud andmed juba osaks väärteotoimikust ja kohtul puudub eraldi vajadus registrile </w:t>
            </w:r>
            <w:r w:rsidRPr="00110EE7">
              <w:rPr>
                <w:rFonts w:ascii="Times New Roman" w:hAnsi="Times New Roman" w:cs="Times New Roman"/>
                <w:sz w:val="24"/>
                <w:szCs w:val="24"/>
              </w:rPr>
              <w:lastRenderedPageBreak/>
              <w:t xml:space="preserve">päringu tegemiseks. Sarnaselt ei ole ka kohtul kriminaalmenetluses iseseisvat õigust saada andmeid karistusregistri arhiivist. </w:t>
            </w:r>
          </w:p>
          <w:p w14:paraId="4C72BDEC" w14:textId="77777777" w:rsidR="000D6DF0" w:rsidRPr="00110EE7" w:rsidRDefault="000D6DF0" w:rsidP="000D6DF0">
            <w:pPr>
              <w:pStyle w:val="Vahedeta"/>
              <w:ind w:left="720"/>
              <w:jc w:val="both"/>
              <w:rPr>
                <w:rFonts w:ascii="Times New Roman" w:hAnsi="Times New Roman" w:cs="Times New Roman"/>
                <w:sz w:val="24"/>
                <w:szCs w:val="24"/>
              </w:rPr>
            </w:pPr>
          </w:p>
          <w:p w14:paraId="68ECDD80"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Kuivõrd arhiivipidaja ei peaks hakkama hindama, kas rikkumine on toime pandud viie aasta vältel või juba enne seda, siis palume kaaluda võimalust siduda arhiveeritud andmetele ligipääsu võimalus lahti viieaastasest tähtajast või eelnõus selgelt sätestada, et just menetleja saab teatud ajavahemiku kohta andmeid küsida ja sorteerib ise välja, millised teod viidi lõpule 5 aasta sees ja neid, mis varem toime pandi, korduvusele hinnangu andmisel ei arvestata. </w:t>
            </w:r>
          </w:p>
          <w:p w14:paraId="61FA5E60" w14:textId="77777777" w:rsidR="000D6DF0" w:rsidRPr="00110EE7" w:rsidRDefault="000D6DF0" w:rsidP="000D6DF0">
            <w:pPr>
              <w:pStyle w:val="Vahedeta"/>
              <w:ind w:left="360"/>
              <w:jc w:val="both"/>
              <w:rPr>
                <w:rFonts w:ascii="Times New Roman" w:hAnsi="Times New Roman" w:cs="Times New Roman"/>
                <w:sz w:val="24"/>
                <w:szCs w:val="24"/>
              </w:rPr>
            </w:pPr>
          </w:p>
          <w:p w14:paraId="5D0371C6"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Praeguse karistusregistri seaduse loogika lähtub üldreeglina sellest, et väärteoandmed kantakse arhiivi siis, kui karistuse kandmisest (nt rahatrahvi maksmisest) on möödunud üks aasta. Väärteo korduvuse arvestamisel tuleb aga lähtuda väärteo lõpuleviimise kuupäevast. Korduvuse arvestamiseks on seega pädev kohtuväline menetleja, kes omab teadmist selle kohta, kuidas hinnata arhiveeritud väärteo lõpuleviimist ja seda, kas varasem tegu mahub viieaastase perioodi sisse või mitte. Võib ka näiteks juhtuda seegi, et enam kui viis aastat tagasi toimepandud väärtegu ei ole arhiveeritud põhjusel, et isikul on rahatrahv tasumata, kuid kohtuväline menetleja ei saa seda tegu AÕKS-is nimetatud korduvuse arvestamisel silmas pidada, sest tegu ise pandi toime enam kui viie aasta eest. Riivet, mis kaasneb arhiveeritud andmetele ligipääsu lahti sidumisega viieaastasest tähtajast, aitab leevendada see, et karistusregistri seaduse § 24 lg 6 kohaselt ei säilitata väärteoandmeid arhiivis igal juhul üle kümne aasta. </w:t>
            </w:r>
          </w:p>
          <w:p w14:paraId="68309E28" w14:textId="77777777" w:rsidR="000D6DF0" w:rsidRPr="00110EE7" w:rsidRDefault="000D6DF0" w:rsidP="000D6DF0">
            <w:pPr>
              <w:pStyle w:val="Vahedeta"/>
              <w:jc w:val="both"/>
              <w:rPr>
                <w:rFonts w:ascii="Times New Roman" w:hAnsi="Times New Roman" w:cs="Times New Roman"/>
                <w:sz w:val="24"/>
                <w:szCs w:val="24"/>
              </w:rPr>
            </w:pPr>
          </w:p>
          <w:p w14:paraId="2C304D95"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Oleme valmis tegema kõnealuse normiga seoses koostööd, et leida sobiv ja õiguspärane lahendus.</w:t>
            </w:r>
          </w:p>
          <w:bookmarkEnd w:id="2"/>
          <w:p w14:paraId="24E921C9" w14:textId="77777777" w:rsidR="000D6DF0" w:rsidRPr="00110EE7" w:rsidRDefault="000D6DF0" w:rsidP="000D6DF0">
            <w:pPr>
              <w:jc w:val="both"/>
              <w:rPr>
                <w:rFonts w:ascii="Times New Roman" w:hAnsi="Times New Roman" w:cs="Times New Roman"/>
                <w:b/>
                <w:bCs/>
                <w:sz w:val="24"/>
                <w:szCs w:val="24"/>
              </w:rPr>
            </w:pPr>
          </w:p>
        </w:tc>
        <w:tc>
          <w:tcPr>
            <w:tcW w:w="2268" w:type="dxa"/>
          </w:tcPr>
          <w:p w14:paraId="1EC1DEDC" w14:textId="34246CCA" w:rsidR="000D6DF0" w:rsidRPr="00E95C1B" w:rsidRDefault="000D6DF0" w:rsidP="000D6DF0">
            <w:pPr>
              <w:jc w:val="both"/>
              <w:rPr>
                <w:rFonts w:ascii="Times New Roman" w:hAnsi="Times New Roman" w:cs="Times New Roman"/>
                <w:sz w:val="24"/>
                <w:szCs w:val="24"/>
              </w:rPr>
            </w:pPr>
            <w:r w:rsidRPr="00E95C1B">
              <w:rPr>
                <w:rFonts w:ascii="Times New Roman" w:hAnsi="Times New Roman" w:cs="Times New Roman"/>
                <w:sz w:val="24"/>
                <w:szCs w:val="24"/>
              </w:rPr>
              <w:lastRenderedPageBreak/>
              <w:t>Arvestatud</w:t>
            </w:r>
          </w:p>
        </w:tc>
        <w:tc>
          <w:tcPr>
            <w:tcW w:w="4218" w:type="dxa"/>
          </w:tcPr>
          <w:p w14:paraId="0E8F524D" w14:textId="2CB41CE2" w:rsidR="000D6DF0" w:rsidRPr="00E95C1B" w:rsidRDefault="000D6DF0" w:rsidP="000D6DF0">
            <w:pPr>
              <w:jc w:val="both"/>
              <w:rPr>
                <w:rFonts w:ascii="Times New Roman" w:hAnsi="Times New Roman" w:cs="Times New Roman"/>
                <w:sz w:val="24"/>
                <w:szCs w:val="24"/>
              </w:rPr>
            </w:pPr>
            <w:r w:rsidRPr="00E95C1B">
              <w:rPr>
                <w:rFonts w:ascii="Times New Roman" w:hAnsi="Times New Roman" w:cs="Times New Roman"/>
                <w:sz w:val="24"/>
                <w:szCs w:val="24"/>
              </w:rPr>
              <w:t>Lisatud uus sõnastus</w:t>
            </w:r>
          </w:p>
        </w:tc>
      </w:tr>
      <w:tr w:rsidR="000D6DF0" w:rsidRPr="00110EE7" w14:paraId="777F7126" w14:textId="77777777" w:rsidTr="00AA72ED">
        <w:tc>
          <w:tcPr>
            <w:tcW w:w="562" w:type="dxa"/>
          </w:tcPr>
          <w:p w14:paraId="615C6E3D" w14:textId="36D81A48"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lastRenderedPageBreak/>
              <w:t>5</w:t>
            </w:r>
          </w:p>
        </w:tc>
        <w:tc>
          <w:tcPr>
            <w:tcW w:w="6946" w:type="dxa"/>
          </w:tcPr>
          <w:p w14:paraId="1D364665" w14:textId="77777777" w:rsidR="000D6DF0" w:rsidRPr="002F65B3" w:rsidRDefault="000D6DF0" w:rsidP="000D6DF0">
            <w:pPr>
              <w:pStyle w:val="Vahedeta"/>
              <w:jc w:val="both"/>
              <w:rPr>
                <w:rFonts w:ascii="Times New Roman" w:hAnsi="Times New Roman" w:cs="Times New Roman"/>
                <w:sz w:val="24"/>
                <w:szCs w:val="24"/>
              </w:rPr>
            </w:pPr>
            <w:r w:rsidRPr="002F65B3">
              <w:rPr>
                <w:rFonts w:ascii="Times New Roman" w:hAnsi="Times New Roman" w:cs="Times New Roman"/>
                <w:sz w:val="24"/>
                <w:szCs w:val="24"/>
              </w:rPr>
              <w:t xml:space="preserve">Eelnõu kohaselt ei muudeta kehtivat AÕKS §-s 226 ettenähtud ettekirjutuse täitmata jätmisel kohaldatava sunniraha ülemmäära. </w:t>
            </w:r>
            <w:r w:rsidRPr="002F65B3">
              <w:rPr>
                <w:rFonts w:ascii="Times New Roman" w:hAnsi="Times New Roman" w:cs="Times New Roman"/>
                <w:sz w:val="24"/>
                <w:szCs w:val="24"/>
              </w:rPr>
              <w:lastRenderedPageBreak/>
              <w:t xml:space="preserve">Sunniraha ülemmäär on jätkuvalt 32 000 eurot, kuigi asendustäitmise ja sunniraha seaduse (ATSS) § 10 lg 2 võimaldab seda tõsta. Peame tõenäoliseks, et sedavõrd madal sunniraha ülemmäär ei pruugi praktikas enam täna ega tulevikus mõjutada vastava valdkonna ettevõtjate käitumist. </w:t>
            </w:r>
          </w:p>
          <w:p w14:paraId="46375780" w14:textId="77777777" w:rsidR="000D6DF0" w:rsidRPr="002F65B3" w:rsidRDefault="000D6DF0" w:rsidP="000D6DF0">
            <w:pPr>
              <w:pStyle w:val="Vahedeta"/>
              <w:ind w:left="720"/>
              <w:jc w:val="both"/>
              <w:rPr>
                <w:rFonts w:ascii="Times New Roman" w:hAnsi="Times New Roman" w:cs="Times New Roman"/>
                <w:sz w:val="24"/>
                <w:szCs w:val="24"/>
              </w:rPr>
            </w:pPr>
          </w:p>
          <w:p w14:paraId="542495ED" w14:textId="77777777" w:rsidR="000D6DF0" w:rsidRPr="002F65B3" w:rsidRDefault="000D6DF0" w:rsidP="000D6DF0">
            <w:pPr>
              <w:pStyle w:val="Vahedeta"/>
              <w:jc w:val="both"/>
              <w:rPr>
                <w:rFonts w:ascii="Times New Roman" w:hAnsi="Times New Roman" w:cs="Times New Roman"/>
                <w:sz w:val="24"/>
                <w:szCs w:val="24"/>
              </w:rPr>
            </w:pPr>
            <w:r w:rsidRPr="002F65B3">
              <w:rPr>
                <w:rFonts w:ascii="Times New Roman" w:hAnsi="Times New Roman" w:cs="Times New Roman"/>
                <w:sz w:val="24"/>
                <w:szCs w:val="24"/>
              </w:rPr>
              <w:t xml:space="preserve">Riigikogu poolt võeti 19. juunil 2014 vastu karistusseadustiku (KarS) ja sellega seonduvalt teiste seaduste muutmise seadus (554SE). Eelnõu lähtus arusaamast, et väärteovastutust tuleb kohaldada üksnes siis, kui haldussund ei anna tulemust. </w:t>
            </w:r>
          </w:p>
          <w:p w14:paraId="1A98896E" w14:textId="77777777" w:rsidR="000D6DF0" w:rsidRPr="002F65B3" w:rsidRDefault="000D6DF0" w:rsidP="000D6DF0">
            <w:pPr>
              <w:pStyle w:val="Vahedeta"/>
              <w:ind w:left="360"/>
              <w:jc w:val="both"/>
              <w:rPr>
                <w:rFonts w:ascii="Times New Roman" w:hAnsi="Times New Roman" w:cs="Times New Roman"/>
                <w:sz w:val="24"/>
                <w:szCs w:val="24"/>
              </w:rPr>
            </w:pPr>
          </w:p>
          <w:p w14:paraId="68DCFCC0" w14:textId="77777777" w:rsidR="000D6DF0" w:rsidRPr="002F65B3" w:rsidRDefault="000D6DF0" w:rsidP="000D6DF0">
            <w:pPr>
              <w:pStyle w:val="Vahedeta"/>
              <w:jc w:val="both"/>
              <w:rPr>
                <w:rFonts w:ascii="Times New Roman" w:hAnsi="Times New Roman" w:cs="Times New Roman"/>
                <w:sz w:val="24"/>
                <w:szCs w:val="24"/>
              </w:rPr>
            </w:pPr>
            <w:bookmarkStart w:id="3" w:name="_Hlk207214565"/>
            <w:r w:rsidRPr="002F65B3">
              <w:rPr>
                <w:rFonts w:ascii="Times New Roman" w:hAnsi="Times New Roman" w:cs="Times New Roman"/>
                <w:sz w:val="24"/>
                <w:szCs w:val="24"/>
              </w:rPr>
              <w:t xml:space="preserve">Uute väärteokoosseisude koostamisel või kehtivates sätetes karistusmäärade ülevaatamisel tuleb kindlasti analüüsida, kas on võimalus kohaldada karistamise asemel haldussundi: </w:t>
            </w:r>
            <w:bookmarkEnd w:id="3"/>
            <w:r w:rsidRPr="002F65B3">
              <w:rPr>
                <w:rFonts w:ascii="Times New Roman" w:hAnsi="Times New Roman" w:cs="Times New Roman"/>
                <w:sz w:val="24"/>
                <w:szCs w:val="24"/>
              </w:rPr>
              <w:t>lahendada probleem ettekirjutusega või kohaldada sunniraha ja asendustäitmist</w:t>
            </w:r>
            <w:r w:rsidRPr="002F65B3">
              <w:rPr>
                <w:rStyle w:val="Allmrkuseviide"/>
                <w:rFonts w:ascii="Times New Roman" w:hAnsi="Times New Roman" w:cs="Times New Roman"/>
                <w:sz w:val="24"/>
                <w:szCs w:val="24"/>
              </w:rPr>
              <w:footnoteReference w:id="3"/>
            </w:r>
            <w:r w:rsidRPr="002F65B3">
              <w:rPr>
                <w:rFonts w:ascii="Times New Roman" w:hAnsi="Times New Roman" w:cs="Times New Roman"/>
                <w:sz w:val="24"/>
                <w:szCs w:val="24"/>
              </w:rPr>
              <w:t>.  Näiteks tekib küsimus, miks ei saa eelnõu § 1 punktiga 38 muudetavas AÕKS §-s 243 ettenähtud aruandlusnõuete täitmise tagamiseks kohaldada ettekirjutust ja vajadusel sunniraha. Viimast on võimalik kohaldada ka korduvalt, kuniks aruandlusnõude rikkumine on kõrvaldatud.</w:t>
            </w:r>
          </w:p>
          <w:p w14:paraId="00D95002" w14:textId="77777777" w:rsidR="000D6DF0" w:rsidRPr="002F65B3" w:rsidRDefault="000D6DF0" w:rsidP="000D6DF0">
            <w:pPr>
              <w:pStyle w:val="Vahedeta"/>
              <w:ind w:left="360"/>
              <w:jc w:val="both"/>
              <w:rPr>
                <w:rFonts w:ascii="Times New Roman" w:hAnsi="Times New Roman" w:cs="Times New Roman"/>
                <w:sz w:val="24"/>
                <w:szCs w:val="24"/>
              </w:rPr>
            </w:pPr>
          </w:p>
          <w:p w14:paraId="2BDF12AD" w14:textId="77777777" w:rsidR="000D6DF0" w:rsidRPr="002F65B3" w:rsidRDefault="000D6DF0" w:rsidP="000D6DF0">
            <w:pPr>
              <w:pStyle w:val="Vahedeta"/>
              <w:jc w:val="both"/>
              <w:rPr>
                <w:rFonts w:ascii="Times New Roman" w:hAnsi="Times New Roman" w:cs="Times New Roman"/>
                <w:sz w:val="24"/>
                <w:szCs w:val="24"/>
              </w:rPr>
            </w:pPr>
            <w:r w:rsidRPr="002F65B3">
              <w:rPr>
                <w:rFonts w:ascii="Times New Roman" w:hAnsi="Times New Roman" w:cs="Times New Roman"/>
                <w:sz w:val="24"/>
                <w:szCs w:val="24"/>
              </w:rPr>
              <w:t>Igal juhul peab otsus, et väärteokaristuste raskendamine ei too kaasa sunniraha suuruse tõstmist, tuginema analüüsil – seletuskirjas tuleks kajastada statistikat selle kohta, kuidas ja millises määras on kehtiva seaduse alusel ettekirjutusi ja sunniraha rakendatud ning kas see on õigusrikkujaid mõjutanud.</w:t>
            </w:r>
          </w:p>
          <w:p w14:paraId="27DC484C" w14:textId="77777777" w:rsidR="000D6DF0" w:rsidRPr="002F65B3" w:rsidRDefault="000D6DF0" w:rsidP="000D6DF0">
            <w:pPr>
              <w:pStyle w:val="Vahedeta"/>
              <w:ind w:left="360"/>
              <w:jc w:val="both"/>
              <w:rPr>
                <w:rFonts w:ascii="Times New Roman" w:hAnsi="Times New Roman" w:cs="Times New Roman"/>
                <w:sz w:val="24"/>
                <w:szCs w:val="24"/>
              </w:rPr>
            </w:pPr>
          </w:p>
          <w:p w14:paraId="48CE5B98" w14:textId="77777777" w:rsidR="000D6DF0" w:rsidRPr="002F65B3" w:rsidRDefault="000D6DF0" w:rsidP="000D6DF0">
            <w:pPr>
              <w:pStyle w:val="Vahedeta"/>
              <w:jc w:val="both"/>
              <w:rPr>
                <w:rFonts w:ascii="Times New Roman" w:hAnsi="Times New Roman" w:cs="Times New Roman"/>
                <w:sz w:val="24"/>
                <w:szCs w:val="24"/>
              </w:rPr>
            </w:pPr>
            <w:r w:rsidRPr="002F65B3">
              <w:rPr>
                <w:rFonts w:ascii="Times New Roman" w:hAnsi="Times New Roman" w:cs="Times New Roman"/>
                <w:sz w:val="24"/>
                <w:szCs w:val="24"/>
              </w:rPr>
              <w:t xml:space="preserve">Palume täiendada eelnõu seletuskirja analüüsiga selle kohta, millistel juhtudel tuleb kohaldada seaduses sätestatud väärteokaristusi ja millistel juhtudel on võimalik piirduda haldussunni rakendamisega, st </w:t>
            </w:r>
            <w:r w:rsidRPr="002F65B3">
              <w:rPr>
                <w:rFonts w:ascii="Times New Roman" w:hAnsi="Times New Roman" w:cs="Times New Roman"/>
                <w:sz w:val="24"/>
                <w:szCs w:val="24"/>
              </w:rPr>
              <w:lastRenderedPageBreak/>
              <w:t>lahendada probleem ettekirjutusega või kohaldada sunniraha ja asendustäitmist.</w:t>
            </w:r>
          </w:p>
          <w:p w14:paraId="31FE0648" w14:textId="77777777" w:rsidR="000D6DF0" w:rsidRPr="002F65B3" w:rsidRDefault="000D6DF0" w:rsidP="000D6DF0">
            <w:pPr>
              <w:pStyle w:val="Vahedeta"/>
              <w:jc w:val="both"/>
              <w:rPr>
                <w:rFonts w:ascii="Times New Roman" w:hAnsi="Times New Roman" w:cs="Times New Roman"/>
                <w:b/>
                <w:bCs/>
                <w:sz w:val="24"/>
                <w:szCs w:val="24"/>
              </w:rPr>
            </w:pPr>
          </w:p>
        </w:tc>
        <w:tc>
          <w:tcPr>
            <w:tcW w:w="2268" w:type="dxa"/>
          </w:tcPr>
          <w:p w14:paraId="7943D61D" w14:textId="5481C832" w:rsidR="000D6DF0" w:rsidRPr="00983CB7" w:rsidRDefault="000D6DF0" w:rsidP="000D6DF0">
            <w:pPr>
              <w:jc w:val="both"/>
              <w:rPr>
                <w:rFonts w:ascii="Times New Roman" w:hAnsi="Times New Roman" w:cs="Times New Roman"/>
                <w:sz w:val="24"/>
                <w:szCs w:val="24"/>
              </w:rPr>
            </w:pPr>
            <w:r w:rsidRPr="00983CB7">
              <w:rPr>
                <w:rFonts w:ascii="Times New Roman" w:hAnsi="Times New Roman" w:cs="Times New Roman"/>
                <w:sz w:val="24"/>
                <w:szCs w:val="24"/>
              </w:rPr>
              <w:lastRenderedPageBreak/>
              <w:t>Arvestatud osaliselt</w:t>
            </w:r>
          </w:p>
        </w:tc>
        <w:tc>
          <w:tcPr>
            <w:tcW w:w="4218" w:type="dxa"/>
          </w:tcPr>
          <w:p w14:paraId="19591120" w14:textId="24CA162B" w:rsidR="000D6DF0" w:rsidRDefault="000D6DF0" w:rsidP="000D6DF0">
            <w:pPr>
              <w:jc w:val="both"/>
              <w:rPr>
                <w:rFonts w:ascii="Times New Roman" w:hAnsi="Times New Roman" w:cs="Times New Roman"/>
                <w:sz w:val="24"/>
                <w:szCs w:val="24"/>
              </w:rPr>
            </w:pPr>
            <w:r w:rsidRPr="00983CB7">
              <w:rPr>
                <w:rFonts w:ascii="Times New Roman" w:hAnsi="Times New Roman" w:cs="Times New Roman"/>
                <w:sz w:val="24"/>
                <w:szCs w:val="24"/>
              </w:rPr>
              <w:t xml:space="preserve">AÕKS § 226 sätestab sunniraha ülemmäära kõikidele AÕKS-i raames </w:t>
            </w:r>
            <w:r w:rsidRPr="00983CB7">
              <w:rPr>
                <w:rFonts w:ascii="Times New Roman" w:hAnsi="Times New Roman" w:cs="Times New Roman"/>
                <w:sz w:val="24"/>
                <w:szCs w:val="24"/>
              </w:rPr>
              <w:lastRenderedPageBreak/>
              <w:t>tehtud ettekirjutist</w:t>
            </w:r>
            <w:r>
              <w:rPr>
                <w:rFonts w:ascii="Times New Roman" w:hAnsi="Times New Roman" w:cs="Times New Roman"/>
                <w:sz w:val="24"/>
                <w:szCs w:val="24"/>
              </w:rPr>
              <w:t>ele</w:t>
            </w:r>
            <w:r w:rsidRPr="00983CB7">
              <w:rPr>
                <w:rFonts w:ascii="Times New Roman" w:hAnsi="Times New Roman" w:cs="Times New Roman"/>
                <w:sz w:val="24"/>
                <w:szCs w:val="24"/>
              </w:rPr>
              <w:t>. Käesolev eelnõu aga reguleerib fluoritud kasvuhoonegaaside kasutamist ja leiame, et sunniraha ülemmäära tõstmine tuleks otsustada valdkondade üleselt</w:t>
            </w:r>
            <w:r>
              <w:rPr>
                <w:rFonts w:ascii="Times New Roman" w:hAnsi="Times New Roman" w:cs="Times New Roman"/>
                <w:sz w:val="24"/>
                <w:szCs w:val="24"/>
              </w:rPr>
              <w:t xml:space="preserve">. Fluoritud kasvuhoonegaaside valdkonnas on sunniraha ülemmäära järelevalve poolt määratud vaid mõnel üksikul korral, seega ei näe me vajadust selle summa tõstmiseks. Seletuskirjas on </w:t>
            </w:r>
            <w:r w:rsidRPr="00C17F70">
              <w:rPr>
                <w:rFonts w:ascii="Times New Roman" w:hAnsi="Times New Roman" w:cs="Times New Roman"/>
                <w:sz w:val="24"/>
                <w:szCs w:val="24"/>
              </w:rPr>
              <w:t>välja toodud sta</w:t>
            </w:r>
            <w:r>
              <w:rPr>
                <w:rFonts w:ascii="Times New Roman" w:hAnsi="Times New Roman" w:cs="Times New Roman"/>
                <w:sz w:val="24"/>
                <w:szCs w:val="24"/>
              </w:rPr>
              <w:t xml:space="preserve">tistika haldusmenetluse, ettekirjutuse ja sunniraha määramise kohta </w:t>
            </w:r>
            <w:r w:rsidRPr="00C17F70">
              <w:rPr>
                <w:rFonts w:ascii="Times New Roman" w:hAnsi="Times New Roman" w:cs="Times New Roman"/>
                <w:sz w:val="24"/>
                <w:szCs w:val="24"/>
              </w:rPr>
              <w:t>aastatel 202</w:t>
            </w:r>
            <w:r>
              <w:rPr>
                <w:rFonts w:ascii="Times New Roman" w:hAnsi="Times New Roman" w:cs="Times New Roman"/>
                <w:sz w:val="24"/>
                <w:szCs w:val="24"/>
              </w:rPr>
              <w:t>0-2024.</w:t>
            </w:r>
          </w:p>
          <w:p w14:paraId="56977282" w14:textId="1DF42FCF" w:rsidR="000D6DF0" w:rsidRPr="002F65B3" w:rsidRDefault="000D6DF0" w:rsidP="000D6DF0">
            <w:pPr>
              <w:jc w:val="both"/>
              <w:rPr>
                <w:rFonts w:ascii="Times New Roman" w:hAnsi="Times New Roman" w:cs="Times New Roman"/>
                <w:sz w:val="24"/>
                <w:szCs w:val="24"/>
              </w:rPr>
            </w:pPr>
            <w:r w:rsidRPr="002F65B3">
              <w:rPr>
                <w:rFonts w:ascii="Times New Roman" w:hAnsi="Times New Roman" w:cs="Times New Roman"/>
                <w:sz w:val="24"/>
                <w:szCs w:val="24"/>
              </w:rPr>
              <w:t>Seletuskirja lisatud</w:t>
            </w:r>
            <w:r>
              <w:rPr>
                <w:rFonts w:ascii="Times New Roman" w:hAnsi="Times New Roman" w:cs="Times New Roman"/>
                <w:sz w:val="24"/>
                <w:szCs w:val="24"/>
              </w:rPr>
              <w:t xml:space="preserve"> ka</w:t>
            </w:r>
            <w:r w:rsidRPr="002F65B3">
              <w:rPr>
                <w:rFonts w:ascii="Times New Roman" w:hAnsi="Times New Roman" w:cs="Times New Roman"/>
                <w:sz w:val="24"/>
                <w:szCs w:val="24"/>
              </w:rPr>
              <w:t xml:space="preserve"> lõik:</w:t>
            </w:r>
          </w:p>
          <w:p w14:paraId="0B10D8EB" w14:textId="0CE60AD6" w:rsidR="000D6DF0" w:rsidRPr="002F65B3" w:rsidRDefault="000D6DF0" w:rsidP="000D6DF0">
            <w:pPr>
              <w:jc w:val="both"/>
              <w:rPr>
                <w:rFonts w:ascii="Times New Roman" w:hAnsi="Times New Roman" w:cs="Times New Roman"/>
                <w:sz w:val="24"/>
                <w:szCs w:val="24"/>
              </w:rPr>
            </w:pPr>
            <w:r w:rsidRPr="002F65B3">
              <w:rPr>
                <w:rFonts w:ascii="Times New Roman" w:hAnsi="Times New Roman" w:cs="Times New Roman"/>
                <w:sz w:val="24"/>
                <w:szCs w:val="24"/>
              </w:rPr>
              <w:t xml:space="preserve">Haldussunni ja väärteomenetluse valikul tuleb lähtuda </w:t>
            </w:r>
            <w:r w:rsidRPr="002F65B3">
              <w:rPr>
                <w:rFonts w:ascii="Times New Roman" w:hAnsi="Times New Roman" w:cs="Times New Roman"/>
                <w:i/>
                <w:iCs/>
                <w:sz w:val="24"/>
                <w:szCs w:val="24"/>
              </w:rPr>
              <w:t>ultima ratio</w:t>
            </w:r>
            <w:r w:rsidRPr="002F65B3">
              <w:rPr>
                <w:rFonts w:ascii="Times New Roman" w:hAnsi="Times New Roman" w:cs="Times New Roman"/>
                <w:sz w:val="24"/>
                <w:szCs w:val="24"/>
              </w:rPr>
              <w:t xml:space="preserve"> põhimõttest. Olukorrad, kus rikkumine on toime pandud ettevaatamatusest hooletuse vormis (süü kergeim vorm), rikkuja on varasemalt sarnaste tegude eest karistamata ja rikkumine on kõrvaldatav, alustatakse haldusmenetlus. Rikkujale antakse võimalus rikkumine vabatahtlikult kõrvaldada ning ettekirjutust ei tehta ja haldussundi ei kasutata. Juhul, kui eelpool kirjeldatud eeldused on täidetud, kuid rikkumise kõrvaldamine eeldab pikemat aega või suuremahulisi investeeringuid, koostakse ka ettekirjutus. Juhul, kui ettekirjutus jääb tähtajaks täitmata ja adressaat ei ole </w:t>
            </w:r>
            <w:r w:rsidRPr="002F65B3">
              <w:rPr>
                <w:rFonts w:ascii="Times New Roman" w:hAnsi="Times New Roman" w:cs="Times New Roman"/>
                <w:sz w:val="24"/>
                <w:szCs w:val="24"/>
              </w:rPr>
              <w:lastRenderedPageBreak/>
              <w:t xml:space="preserve">esitanud veenvaid põhjendusi, miks ettekirjutus jäi temast sõltumatutel asjaoludel täitmata, rakendatakse haldussundi, reeglina sunniraha vormis. </w:t>
            </w:r>
          </w:p>
          <w:p w14:paraId="205E743C" w14:textId="77777777" w:rsidR="000D6DF0" w:rsidRPr="002F65B3" w:rsidRDefault="000D6DF0" w:rsidP="000D6DF0">
            <w:pPr>
              <w:jc w:val="both"/>
              <w:rPr>
                <w:rFonts w:ascii="Times New Roman" w:hAnsi="Times New Roman" w:cs="Times New Roman"/>
                <w:sz w:val="24"/>
                <w:szCs w:val="24"/>
              </w:rPr>
            </w:pPr>
          </w:p>
          <w:p w14:paraId="629DD280" w14:textId="53A29527" w:rsidR="000D6DF0" w:rsidRPr="00983CB7" w:rsidRDefault="000D6DF0" w:rsidP="000D6DF0">
            <w:pPr>
              <w:jc w:val="both"/>
              <w:rPr>
                <w:rFonts w:ascii="Times New Roman" w:hAnsi="Times New Roman" w:cs="Times New Roman"/>
                <w:sz w:val="24"/>
                <w:szCs w:val="24"/>
              </w:rPr>
            </w:pPr>
            <w:r w:rsidRPr="002F65B3">
              <w:rPr>
                <w:rFonts w:ascii="Times New Roman" w:hAnsi="Times New Roman" w:cs="Times New Roman"/>
                <w:sz w:val="24"/>
                <w:szCs w:val="24"/>
              </w:rPr>
              <w:t xml:space="preserve">Samas olukorras, kus rikkumine on toime pandud otsese tahtluse või kavatsetuse vormis, st ettevõte on seadusest või selle alusel kehtestatud nõuetest teadlik ning rikkumine on kaalutletud tegevus või kui rikkujat on sarnase teo eest juba korra karistatud, alustatakse lisaks haldusmenetlusele ka väärteomenetlus ja karistuse kujunemisel arvestatakse muuhulgas põhimõtet, et rikkumine ei tohi olla kasumlik.  </w:t>
            </w:r>
          </w:p>
          <w:p w14:paraId="06DEF6DC" w14:textId="77777777" w:rsidR="000D6DF0" w:rsidRPr="002C107D" w:rsidRDefault="000D6DF0" w:rsidP="000D6DF0">
            <w:pPr>
              <w:ind w:left="10" w:hanging="10"/>
              <w:jc w:val="both"/>
              <w:rPr>
                <w:rFonts w:ascii="Times New Roman" w:hAnsi="Times New Roman" w:cs="Times New Roman"/>
                <w:sz w:val="24"/>
                <w:szCs w:val="24"/>
              </w:rPr>
            </w:pPr>
          </w:p>
          <w:p w14:paraId="3AB22323" w14:textId="520B382E" w:rsidR="000D6DF0" w:rsidRPr="002C107D" w:rsidRDefault="000D6DF0" w:rsidP="000D6DF0">
            <w:pPr>
              <w:ind w:left="10" w:hanging="10"/>
              <w:jc w:val="both"/>
              <w:rPr>
                <w:rFonts w:ascii="Times New Roman" w:hAnsi="Times New Roman" w:cs="Times New Roman"/>
                <w:sz w:val="24"/>
                <w:szCs w:val="24"/>
              </w:rPr>
            </w:pPr>
            <w:r>
              <w:rPr>
                <w:rFonts w:ascii="Times New Roman" w:hAnsi="Times New Roman" w:cs="Times New Roman"/>
                <w:sz w:val="24"/>
                <w:szCs w:val="24"/>
              </w:rPr>
              <w:t>Keskkonnaameti a</w:t>
            </w:r>
            <w:r w:rsidRPr="002C107D">
              <w:rPr>
                <w:rFonts w:ascii="Times New Roman" w:hAnsi="Times New Roman" w:cs="Times New Roman"/>
                <w:sz w:val="24"/>
                <w:szCs w:val="24"/>
              </w:rPr>
              <w:t>ndmetest selgub, et sageli piisab ettevõtte mõjutamiseks haldusmenetluse alustamisest ja ettekirjutust ei ole vaja. Sunniraha on rakendatud suhteliselt vähe ja reeglina ettekirjutus täidetakse. Erisusena on aastal 2024 sunniraha määratud rohkem, põhjuseks aruannete esitamata jätmine. Aastate lõikes on see pigem erakordne.</w:t>
            </w:r>
          </w:p>
          <w:p w14:paraId="5EFAB866" w14:textId="77777777" w:rsidR="000D6DF0" w:rsidRPr="002C107D" w:rsidRDefault="000D6DF0" w:rsidP="000D6DF0">
            <w:pPr>
              <w:ind w:left="10" w:hanging="10"/>
              <w:jc w:val="both"/>
              <w:rPr>
                <w:rFonts w:ascii="Times New Roman" w:hAnsi="Times New Roman" w:cs="Times New Roman"/>
                <w:sz w:val="24"/>
                <w:szCs w:val="24"/>
              </w:rPr>
            </w:pPr>
            <w:r w:rsidRPr="002C107D">
              <w:rPr>
                <w:rFonts w:ascii="Times New Roman" w:hAnsi="Times New Roman" w:cs="Times New Roman"/>
                <w:sz w:val="24"/>
                <w:szCs w:val="24"/>
              </w:rPr>
              <w:t>Sunniraha ülemmäär on seega mõjus ja selle tõstmist käesoleval hetkel vaja ei ole.</w:t>
            </w:r>
          </w:p>
          <w:p w14:paraId="53811438" w14:textId="77777777" w:rsidR="000D6DF0" w:rsidRDefault="000D6DF0" w:rsidP="000D6DF0">
            <w:pPr>
              <w:ind w:left="10" w:hanging="10"/>
              <w:jc w:val="both"/>
              <w:rPr>
                <w:b/>
                <w:bCs/>
              </w:rPr>
            </w:pPr>
          </w:p>
          <w:p w14:paraId="3A7A0E32" w14:textId="5FFF60C3" w:rsidR="000D6DF0" w:rsidRPr="00983CB7" w:rsidRDefault="000D6DF0" w:rsidP="000D6DF0">
            <w:pPr>
              <w:jc w:val="both"/>
              <w:rPr>
                <w:rFonts w:ascii="Times New Roman" w:hAnsi="Times New Roman" w:cs="Times New Roman"/>
                <w:sz w:val="24"/>
                <w:szCs w:val="24"/>
              </w:rPr>
            </w:pPr>
          </w:p>
        </w:tc>
      </w:tr>
      <w:tr w:rsidR="000D6DF0" w:rsidRPr="00110EE7" w14:paraId="2C1182EA" w14:textId="77777777" w:rsidTr="00AA72ED">
        <w:tc>
          <w:tcPr>
            <w:tcW w:w="562" w:type="dxa"/>
          </w:tcPr>
          <w:p w14:paraId="734DBD91" w14:textId="4E2B2F7C"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lastRenderedPageBreak/>
              <w:t>6</w:t>
            </w:r>
          </w:p>
        </w:tc>
        <w:tc>
          <w:tcPr>
            <w:tcW w:w="6946" w:type="dxa"/>
          </w:tcPr>
          <w:p w14:paraId="64CB76BF"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Eelnõuga füüsilisele isikule ettenähtud väärteokaristused varieeruvad 300 trahviühikust ehk 2400 eurost (nt eelnõu § 1 punkt 29, 32) kuni rahatrahvini kuni kaheksakordses asjaomaste gaaside või neid gaase sisaldavate toodete, seadmete ja mahutite turuväärtusele vastavas summas (nt eelnõu § 1 punkt 30, 31, 32). Juriidilist isikut on eelnõu kohaselt võimalik karistada rahatrahviga kuni 200 000 eurot (nt eelnõu § 1 punkt 29, 32) või sarnaselt füüsilisele isikule rahatrahviga kuni kaheksakordses asjaomaste gaaside või neid gaase sisaldavate toodete, seadmete ja mahutite turuväärtusele vastavas summas (nt eelnõu § 1 punkt 30, 31, 32).</w:t>
            </w:r>
          </w:p>
          <w:p w14:paraId="6C9764C9" w14:textId="77777777" w:rsidR="000D6DF0" w:rsidRPr="00110EE7" w:rsidRDefault="000D6DF0" w:rsidP="000D6DF0">
            <w:pPr>
              <w:pStyle w:val="Vahedeta"/>
              <w:jc w:val="both"/>
              <w:rPr>
                <w:rFonts w:ascii="Times New Roman" w:hAnsi="Times New Roman" w:cs="Times New Roman"/>
                <w:sz w:val="24"/>
                <w:szCs w:val="24"/>
              </w:rPr>
            </w:pPr>
          </w:p>
          <w:p w14:paraId="07026657"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Seletuskirjast ei nähtu aga, kuidas need karistusmäärad – arvestades väärtegude raskust – omavahel suhestuvad ja isikut mõjutavad. Samuti ei selgu, kui suured on Eesti turuolukorda arvestades potentsiaalselt need summad, mis võidakse tulevikus võtta aluseks isikule turuväärtuse põhise karistuse määramisel. Kas räägime üldjuhul, sh Eestis tegutsevate ettevõtjate praktikat arvestades kümnetest tuhandetest, sadadest tuhandetest või miljonitest eurodest? Samuti jääb ebaselgeks, kuidas suhestuvad uued väärteokoosseisud ja nende eest ettenähtud karistusmäärad juba olemasolevate AÕKS-is ettenähtud väärteokaristustega – seda näiteks raskusastmelt, etteheidetavuselt jne. Seletuskirjast ei selgu, kas eelnõu koostaja on analüüsinud kõikide muudetava seaduse väärteokoosseisude omavahelist suhet ja seda, kas olemasolevate väärteokoosseisude eest ettenähtud karistusmäärad, mida ei muudeta, on endiselt ajakohased ja kooskõlas uute väärteokoosseisude eest ettenähtud karistusmääradega (nt AÕKS §-de 247, 247</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247</w:t>
            </w:r>
            <w:r w:rsidRPr="00110EE7">
              <w:rPr>
                <w:rFonts w:ascii="Times New Roman" w:hAnsi="Times New Roman" w:cs="Times New Roman"/>
                <w:sz w:val="24"/>
                <w:szCs w:val="24"/>
                <w:vertAlign w:val="superscript"/>
              </w:rPr>
              <w:t>2</w:t>
            </w:r>
            <w:r w:rsidRPr="00110EE7">
              <w:rPr>
                <w:rFonts w:ascii="Times New Roman" w:hAnsi="Times New Roman" w:cs="Times New Roman"/>
                <w:sz w:val="24"/>
                <w:szCs w:val="24"/>
              </w:rPr>
              <w:t xml:space="preserve"> eest on juriidilist isikut võimalik karistada rahatrahviga kuni 50 000 eurot, samal ajal on AÕKS § 235</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lg-s 2 sätestatud juriidilise isiku karistuse ülemmäär 10 000 000 eurot).</w:t>
            </w:r>
          </w:p>
          <w:p w14:paraId="021CB9B4" w14:textId="77777777" w:rsidR="000D6DF0" w:rsidRPr="00110EE7" w:rsidRDefault="000D6DF0" w:rsidP="000D6DF0">
            <w:pPr>
              <w:pStyle w:val="Vahedeta"/>
              <w:ind w:left="720"/>
              <w:jc w:val="both"/>
              <w:rPr>
                <w:rFonts w:ascii="Times New Roman" w:hAnsi="Times New Roman" w:cs="Times New Roman"/>
                <w:sz w:val="24"/>
                <w:szCs w:val="24"/>
              </w:rPr>
            </w:pPr>
          </w:p>
          <w:p w14:paraId="230CD44E"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Palume analüüsida seletuskirjas seadusesse lisandunud, muudetud ja/või ümber sõnastatud väärteokoosseisude karistusmäärade tõhusust, </w:t>
            </w:r>
            <w:r w:rsidRPr="00110EE7">
              <w:rPr>
                <w:rFonts w:ascii="Times New Roman" w:hAnsi="Times New Roman" w:cs="Times New Roman"/>
                <w:sz w:val="24"/>
                <w:szCs w:val="24"/>
              </w:rPr>
              <w:lastRenderedPageBreak/>
              <w:t>proportsionaalsust ja heidutavust. Samuti nende karistusmäärade suhestumist olemasolevate väärtegude eest ettenähtud karistuste ülempiiridega.</w:t>
            </w:r>
          </w:p>
          <w:p w14:paraId="086E64A2" w14:textId="77777777" w:rsidR="000D6DF0" w:rsidRPr="00110EE7" w:rsidRDefault="000D6DF0" w:rsidP="000D6DF0">
            <w:pPr>
              <w:pStyle w:val="Vahedeta"/>
              <w:jc w:val="both"/>
              <w:rPr>
                <w:rFonts w:ascii="Times New Roman" w:hAnsi="Times New Roman" w:cs="Times New Roman"/>
                <w:b/>
                <w:bCs/>
                <w:sz w:val="24"/>
                <w:szCs w:val="24"/>
              </w:rPr>
            </w:pPr>
          </w:p>
        </w:tc>
        <w:tc>
          <w:tcPr>
            <w:tcW w:w="2268" w:type="dxa"/>
          </w:tcPr>
          <w:p w14:paraId="0E173F32" w14:textId="5C9F81FD" w:rsidR="000D6DF0" w:rsidRPr="00BA7CE9" w:rsidRDefault="000D6DF0" w:rsidP="000D6DF0">
            <w:pPr>
              <w:jc w:val="both"/>
              <w:rPr>
                <w:rFonts w:ascii="Times New Roman" w:hAnsi="Times New Roman" w:cs="Times New Roman"/>
                <w:sz w:val="24"/>
                <w:szCs w:val="24"/>
              </w:rPr>
            </w:pPr>
            <w:r w:rsidRPr="00BA7CE9">
              <w:rPr>
                <w:rFonts w:ascii="Times New Roman" w:hAnsi="Times New Roman" w:cs="Times New Roman"/>
                <w:sz w:val="24"/>
                <w:szCs w:val="24"/>
              </w:rPr>
              <w:lastRenderedPageBreak/>
              <w:t xml:space="preserve">Arvestatud </w:t>
            </w:r>
          </w:p>
        </w:tc>
        <w:tc>
          <w:tcPr>
            <w:tcW w:w="4218" w:type="dxa"/>
          </w:tcPr>
          <w:p w14:paraId="7D1DFA31" w14:textId="67045198" w:rsidR="000D6DF0" w:rsidRDefault="000D6DF0" w:rsidP="000D6DF0">
            <w:pPr>
              <w:jc w:val="both"/>
              <w:rPr>
                <w:rFonts w:ascii="Times New Roman" w:hAnsi="Times New Roman" w:cs="Times New Roman"/>
                <w:sz w:val="24"/>
                <w:szCs w:val="24"/>
              </w:rPr>
            </w:pPr>
            <w:r w:rsidRPr="008C75E0">
              <w:rPr>
                <w:rFonts w:ascii="Times New Roman" w:hAnsi="Times New Roman" w:cs="Times New Roman"/>
                <w:sz w:val="24"/>
                <w:szCs w:val="24"/>
              </w:rPr>
              <w:t>KarS</w:t>
            </w:r>
            <w:r>
              <w:rPr>
                <w:rFonts w:ascii="Times New Roman" w:hAnsi="Times New Roman" w:cs="Times New Roman"/>
                <w:sz w:val="24"/>
                <w:szCs w:val="24"/>
              </w:rPr>
              <w:t xml:space="preserve"> </w:t>
            </w:r>
            <w:r w:rsidRPr="00110EE7">
              <w:rPr>
                <w:rFonts w:ascii="Times New Roman" w:hAnsi="Times New Roman" w:cs="Times New Roman"/>
                <w:sz w:val="24"/>
                <w:szCs w:val="24"/>
              </w:rPr>
              <w:t>§</w:t>
            </w:r>
            <w:r>
              <w:rPr>
                <w:rFonts w:ascii="Times New Roman" w:hAnsi="Times New Roman" w:cs="Times New Roman"/>
                <w:sz w:val="24"/>
                <w:szCs w:val="24"/>
              </w:rPr>
              <w:t xml:space="preserve"> 47 kehtestab maksimaalsed määrad, mida tohib kohus või kohtuväline menetleja kohaldada. Teie kommentaaris välja toodud näide, 300 trahviühikut on maksimaalne lubatud määr. See mõjub piisava heidutusena ning puudub vajadus selle muutmiseks. Samuti olemasolevad väärteokoosseisud, mille trahvimäära eelnõuga ei muudetud – tegemist on meie hinnangul piisavate ja mõjusate trahvimääradega ning puudub vajadus nende muutmiseks. </w:t>
            </w:r>
          </w:p>
          <w:p w14:paraId="73B62E0F" w14:textId="77777777" w:rsidR="000D6DF0" w:rsidRDefault="000D6DF0" w:rsidP="000D6DF0">
            <w:pPr>
              <w:jc w:val="both"/>
              <w:rPr>
                <w:rFonts w:ascii="Times New Roman" w:hAnsi="Times New Roman" w:cs="Times New Roman"/>
                <w:sz w:val="24"/>
                <w:szCs w:val="24"/>
              </w:rPr>
            </w:pPr>
            <w:r>
              <w:rPr>
                <w:rFonts w:ascii="Times New Roman" w:hAnsi="Times New Roman" w:cs="Times New Roman"/>
                <w:sz w:val="24"/>
                <w:szCs w:val="24"/>
              </w:rPr>
              <w:t xml:space="preserve">Teie kommentaaris välja toodud AÕKS </w:t>
            </w:r>
            <w:r w:rsidRPr="00110EE7">
              <w:rPr>
                <w:rFonts w:ascii="Times New Roman" w:hAnsi="Times New Roman" w:cs="Times New Roman"/>
                <w:sz w:val="24"/>
                <w:szCs w:val="24"/>
              </w:rPr>
              <w:t>§ 235</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lg-s 2</w:t>
            </w:r>
            <w:r>
              <w:rPr>
                <w:rFonts w:ascii="Times New Roman" w:hAnsi="Times New Roman" w:cs="Times New Roman"/>
                <w:sz w:val="24"/>
                <w:szCs w:val="24"/>
              </w:rPr>
              <w:t xml:space="preserve"> toodud juriidilise isiku karistuse ülemmäär on teistes korduvalt suurem, sest tegemist on ettevõtetega, kes tegutsevad kütuste valdkonnas ning kuna ettevõtete käibed on suured, on vajalik ka proportsionaalselt suur trahv, et isikute käitumist mõjutada. </w:t>
            </w:r>
            <w:r w:rsidRPr="00110EE7">
              <w:rPr>
                <w:rFonts w:ascii="Times New Roman" w:hAnsi="Times New Roman" w:cs="Times New Roman"/>
                <w:sz w:val="24"/>
                <w:szCs w:val="24"/>
              </w:rPr>
              <w:t>AÕKS §-de 247, 247</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247</w:t>
            </w:r>
            <w:r w:rsidRPr="00110EE7">
              <w:rPr>
                <w:rFonts w:ascii="Times New Roman" w:hAnsi="Times New Roman" w:cs="Times New Roman"/>
                <w:sz w:val="24"/>
                <w:szCs w:val="24"/>
                <w:vertAlign w:val="superscript"/>
              </w:rPr>
              <w:t>2</w:t>
            </w:r>
            <w:r>
              <w:rPr>
                <w:rFonts w:ascii="Times New Roman" w:hAnsi="Times New Roman" w:cs="Times New Roman"/>
                <w:sz w:val="24"/>
                <w:szCs w:val="24"/>
              </w:rPr>
              <w:t xml:space="preserve"> väärteokoosseisud käsitlevad andmete esitamist. Andmete esitamisega seotud trahvimäärad on väiksemad (juriidilisele isikule 50 000), kui need koosseisud, kus rikkumise tagajärjel toimub otsene keskkonna-või kliimamõju (nt AÕKS </w:t>
            </w:r>
            <w:r w:rsidRPr="00110EE7">
              <w:rPr>
                <w:rFonts w:ascii="Times New Roman" w:hAnsi="Times New Roman" w:cs="Times New Roman"/>
                <w:sz w:val="24"/>
                <w:szCs w:val="24"/>
              </w:rPr>
              <w:t>§</w:t>
            </w:r>
            <w:r>
              <w:rPr>
                <w:rFonts w:ascii="Times New Roman" w:hAnsi="Times New Roman" w:cs="Times New Roman"/>
                <w:sz w:val="24"/>
                <w:szCs w:val="24"/>
              </w:rPr>
              <w:t xml:space="preserve"> 239 või </w:t>
            </w:r>
            <w:r w:rsidRPr="00110EE7">
              <w:rPr>
                <w:rFonts w:ascii="Times New Roman" w:hAnsi="Times New Roman" w:cs="Times New Roman"/>
                <w:sz w:val="24"/>
                <w:szCs w:val="24"/>
              </w:rPr>
              <w:t>§</w:t>
            </w:r>
            <w:r>
              <w:rPr>
                <w:rFonts w:ascii="Times New Roman" w:hAnsi="Times New Roman" w:cs="Times New Roman"/>
                <w:sz w:val="24"/>
                <w:szCs w:val="24"/>
              </w:rPr>
              <w:t>236 – tagajärg: leke atmosfääri).</w:t>
            </w:r>
          </w:p>
          <w:p w14:paraId="09543468" w14:textId="770AF6D9" w:rsidR="000D6DF0" w:rsidRPr="007A3162" w:rsidRDefault="000D6DF0" w:rsidP="000D6DF0">
            <w:pPr>
              <w:keepNext/>
              <w:ind w:left="-15"/>
              <w:jc w:val="both"/>
              <w:rPr>
                <w:rFonts w:ascii="Times New Roman" w:hAnsi="Times New Roman" w:cs="Times New Roman"/>
                <w:i/>
                <w:iCs/>
                <w:sz w:val="24"/>
                <w:szCs w:val="24"/>
                <w:u w:val="single"/>
              </w:rPr>
            </w:pPr>
            <w:r>
              <w:rPr>
                <w:rFonts w:ascii="Times New Roman" w:hAnsi="Times New Roman" w:cs="Times New Roman"/>
                <w:sz w:val="24"/>
                <w:szCs w:val="24"/>
              </w:rPr>
              <w:t>Seletuskirja mõjude osas on turuväärtusepõhise trahvimäärade kohta lõik:</w:t>
            </w:r>
            <w:r w:rsidRPr="00A26E58">
              <w:t xml:space="preserve"> </w:t>
            </w:r>
            <w:r w:rsidRPr="007A3162">
              <w:rPr>
                <w:rFonts w:ascii="Times New Roman" w:hAnsi="Times New Roman" w:cs="Times New Roman"/>
                <w:i/>
                <w:iCs/>
                <w:sz w:val="24"/>
                <w:szCs w:val="24"/>
              </w:rPr>
              <w:t xml:space="preserve">Turuväärtusel põhinev trahv tähendab, et rikkumise eest määratav </w:t>
            </w:r>
            <w:r w:rsidRPr="007A3162">
              <w:rPr>
                <w:rFonts w:ascii="Times New Roman" w:hAnsi="Times New Roman" w:cs="Times New Roman"/>
                <w:i/>
                <w:iCs/>
                <w:sz w:val="24"/>
                <w:szCs w:val="24"/>
              </w:rPr>
              <w:lastRenderedPageBreak/>
              <w:t>rahaline karistus sõltub kauba või teenuse turuväärtusest. See tähendab ühtlasi, et trahvi suurus arvestab rikkumise majanduslikku kaalu, vähendades olukordi, kus trahv on ebaproportsionaalselt väike või suur.</w:t>
            </w:r>
          </w:p>
          <w:p w14:paraId="7E6B24B6" w14:textId="77777777" w:rsidR="000D6DF0" w:rsidRPr="007A3162" w:rsidRDefault="000D6DF0" w:rsidP="000D6DF0">
            <w:pPr>
              <w:jc w:val="both"/>
              <w:outlineLvl w:val="2"/>
              <w:rPr>
                <w:rFonts w:ascii="Times New Roman" w:hAnsi="Times New Roman" w:cs="Times New Roman"/>
                <w:i/>
                <w:iCs/>
                <w:sz w:val="24"/>
                <w:szCs w:val="24"/>
              </w:rPr>
            </w:pPr>
            <w:r w:rsidRPr="007A3162">
              <w:rPr>
                <w:rFonts w:ascii="Times New Roman" w:hAnsi="Times New Roman" w:cs="Times New Roman"/>
                <w:i/>
                <w:iCs/>
                <w:sz w:val="24"/>
                <w:szCs w:val="24"/>
              </w:rPr>
              <w:t>Turuväärtusel põhineval trahvimääral on ka suurem heidutav mõju – kui trahv on seotud turuväärtusega, motiveerib see ka ettevõtteid nõuetekohaselt käituma. Väiksem trahv võib jõukamate ettevõtete jaoks muutuda lihtsalt ärikuluks ega täida eesmärki hoida ära rikkumisi.</w:t>
            </w:r>
          </w:p>
          <w:p w14:paraId="6F6C5D64" w14:textId="77777777" w:rsidR="000D6DF0" w:rsidRPr="007A3162" w:rsidRDefault="000D6DF0" w:rsidP="000D6DF0">
            <w:pPr>
              <w:jc w:val="both"/>
              <w:outlineLvl w:val="2"/>
              <w:rPr>
                <w:rFonts w:ascii="Times New Roman" w:hAnsi="Times New Roman" w:cs="Times New Roman"/>
                <w:i/>
                <w:iCs/>
                <w:sz w:val="24"/>
                <w:szCs w:val="24"/>
              </w:rPr>
            </w:pPr>
            <w:r w:rsidRPr="007A3162">
              <w:rPr>
                <w:rFonts w:ascii="Times New Roman" w:hAnsi="Times New Roman" w:cs="Times New Roman"/>
                <w:i/>
                <w:iCs/>
                <w:sz w:val="24"/>
                <w:szCs w:val="24"/>
              </w:rPr>
              <w:t>Turuväärtuse põhjal lähenemist võib võrrelda ka põhimõttega „saastaja maksab“ – mida suurem potentsiaalne kahju, seda suurem trahv.</w:t>
            </w:r>
          </w:p>
          <w:p w14:paraId="7D2FC1BE" w14:textId="77777777" w:rsidR="000D6DF0" w:rsidRPr="007A3162" w:rsidRDefault="000D6DF0" w:rsidP="000D6DF0">
            <w:pPr>
              <w:jc w:val="both"/>
              <w:outlineLvl w:val="2"/>
              <w:rPr>
                <w:i/>
                <w:iCs/>
              </w:rPr>
            </w:pPr>
          </w:p>
          <w:p w14:paraId="25B2D1A5" w14:textId="2119FDF1" w:rsidR="000D6DF0" w:rsidRPr="007A3162" w:rsidRDefault="000D6DF0" w:rsidP="000D6DF0">
            <w:pPr>
              <w:jc w:val="both"/>
              <w:outlineLvl w:val="2"/>
              <w:rPr>
                <w:rFonts w:ascii="Times New Roman" w:hAnsi="Times New Roman" w:cs="Times New Roman"/>
                <w:i/>
                <w:iCs/>
                <w:sz w:val="24"/>
                <w:szCs w:val="24"/>
              </w:rPr>
            </w:pPr>
            <w:r w:rsidRPr="007A3162">
              <w:rPr>
                <w:rFonts w:ascii="Times New Roman" w:hAnsi="Times New Roman" w:cs="Times New Roman"/>
                <w:i/>
                <w:iCs/>
                <w:sz w:val="24"/>
                <w:szCs w:val="24"/>
              </w:rPr>
              <w:t>Muudatuse kaudne mõju võib tähendada suuremaid trahve (koguse või seadme maksumuse põhjal) suuremate rikkumiste puhul ja väiksemate (nii koguse kui ka seadme, toote maksumuse põhjal) rikkumiste puhul. Trahvimäärade muutumise mõju ei ole võimalik kirjeldada, see sõltub rikkumise koosseisust ja rikkumisega seotud toodete või seadmete maksumusest.</w:t>
            </w:r>
          </w:p>
          <w:p w14:paraId="41FCB557" w14:textId="77777777" w:rsidR="000D6DF0" w:rsidRDefault="000D6DF0" w:rsidP="000D6DF0">
            <w:pPr>
              <w:jc w:val="both"/>
              <w:outlineLvl w:val="2"/>
              <w:rPr>
                <w:rFonts w:ascii="Times New Roman" w:hAnsi="Times New Roman" w:cs="Times New Roman"/>
                <w:sz w:val="24"/>
                <w:szCs w:val="24"/>
              </w:rPr>
            </w:pPr>
          </w:p>
          <w:p w14:paraId="58216D2E" w14:textId="4329462E" w:rsidR="000D6DF0" w:rsidRDefault="000D6DF0" w:rsidP="000D6DF0">
            <w:pPr>
              <w:jc w:val="both"/>
              <w:outlineLvl w:val="2"/>
              <w:rPr>
                <w:rFonts w:ascii="Times New Roman" w:hAnsi="Times New Roman" w:cs="Times New Roman"/>
                <w:sz w:val="24"/>
                <w:szCs w:val="24"/>
              </w:rPr>
            </w:pPr>
            <w:r>
              <w:rPr>
                <w:rFonts w:ascii="Times New Roman" w:hAnsi="Times New Roman" w:cs="Times New Roman"/>
                <w:sz w:val="24"/>
                <w:szCs w:val="24"/>
              </w:rPr>
              <w:t>Seletuskirja mõjude osa, punkti 6.5  täiendatud:</w:t>
            </w:r>
          </w:p>
          <w:p w14:paraId="4BE8D407" w14:textId="0DE162EA" w:rsidR="000D6DF0" w:rsidRPr="003A7B61" w:rsidRDefault="000D6DF0" w:rsidP="000D6DF0">
            <w:pPr>
              <w:jc w:val="both"/>
              <w:outlineLvl w:val="2"/>
              <w:rPr>
                <w:rFonts w:ascii="Times New Roman" w:hAnsi="Times New Roman" w:cs="Times New Roman"/>
                <w:sz w:val="24"/>
                <w:szCs w:val="24"/>
              </w:rPr>
            </w:pPr>
            <w:r w:rsidRPr="003A7B61">
              <w:rPr>
                <w:rFonts w:ascii="Times New Roman" w:hAnsi="Times New Roman" w:cs="Times New Roman"/>
                <w:sz w:val="24"/>
                <w:szCs w:val="24"/>
              </w:rPr>
              <w:lastRenderedPageBreak/>
              <w:t xml:space="preserve">Seda, milline saab teatud rikkumise puhul olema trahvimäära suurus on turuväärtusepõhisel meetodil raske ette öelda. See võib varieeruda, sõltudes nii külmaaine kui ka seadmete turuväärtusest, väärteo ulatusest, ehk seadmete arvust. </w:t>
            </w:r>
          </w:p>
          <w:p w14:paraId="3E1AFCAA" w14:textId="77777777" w:rsidR="000D6DF0" w:rsidRPr="003A7B61" w:rsidRDefault="000D6DF0" w:rsidP="000D6DF0">
            <w:pPr>
              <w:jc w:val="both"/>
              <w:outlineLvl w:val="2"/>
              <w:rPr>
                <w:rFonts w:ascii="Times New Roman" w:hAnsi="Times New Roman" w:cs="Times New Roman"/>
                <w:sz w:val="24"/>
                <w:szCs w:val="24"/>
              </w:rPr>
            </w:pPr>
          </w:p>
          <w:p w14:paraId="2C5BE3B8" w14:textId="77777777" w:rsidR="000D6DF0" w:rsidRPr="003A7B61" w:rsidRDefault="000D6DF0" w:rsidP="000D6DF0">
            <w:pPr>
              <w:jc w:val="both"/>
              <w:outlineLvl w:val="2"/>
              <w:rPr>
                <w:rFonts w:ascii="Times New Roman" w:hAnsi="Times New Roman" w:cs="Times New Roman"/>
                <w:b/>
                <w:bCs/>
                <w:sz w:val="24"/>
                <w:szCs w:val="24"/>
              </w:rPr>
            </w:pPr>
            <w:r w:rsidRPr="003A7B61">
              <w:rPr>
                <w:rFonts w:ascii="Times New Roman" w:hAnsi="Times New Roman" w:cs="Times New Roman"/>
                <w:b/>
                <w:bCs/>
                <w:sz w:val="24"/>
                <w:szCs w:val="24"/>
              </w:rPr>
              <w:t>Näited erinevatest võimalikest juhtumitest</w:t>
            </w:r>
          </w:p>
          <w:p w14:paraId="5C3BDB24" w14:textId="77777777" w:rsidR="000D6DF0" w:rsidRPr="003A7B61" w:rsidRDefault="000D6DF0" w:rsidP="000D6DF0">
            <w:pPr>
              <w:jc w:val="both"/>
              <w:rPr>
                <w:rFonts w:ascii="Times New Roman" w:hAnsi="Times New Roman" w:cs="Times New Roman"/>
                <w:sz w:val="24"/>
                <w:szCs w:val="24"/>
              </w:rPr>
            </w:pPr>
            <w:r w:rsidRPr="003A7B61">
              <w:rPr>
                <w:rFonts w:ascii="Times New Roman" w:hAnsi="Times New Roman" w:cs="Times New Roman"/>
                <w:sz w:val="24"/>
                <w:szCs w:val="24"/>
              </w:rPr>
              <w:t>Näide 1.</w:t>
            </w:r>
          </w:p>
          <w:p w14:paraId="7F52D0FC" w14:textId="77777777" w:rsidR="000D6DF0" w:rsidRPr="003A7B61" w:rsidRDefault="000D6DF0" w:rsidP="000D6DF0">
            <w:pPr>
              <w:jc w:val="both"/>
              <w:rPr>
                <w:rFonts w:ascii="Times New Roman" w:hAnsi="Times New Roman" w:cs="Times New Roman"/>
                <w:sz w:val="24"/>
                <w:szCs w:val="24"/>
              </w:rPr>
            </w:pPr>
            <w:r w:rsidRPr="003A7B61">
              <w:rPr>
                <w:rFonts w:ascii="Times New Roman" w:hAnsi="Times New Roman" w:cs="Times New Roman"/>
                <w:sz w:val="24"/>
                <w:szCs w:val="24"/>
              </w:rPr>
              <w:t>Ettevõtte laseb ebaseadusliku turule 1 tonni külmaainet R-404A (rikkumine vastavalt AÕKS § 240</w:t>
            </w:r>
            <w:r w:rsidRPr="003A7B61">
              <w:rPr>
                <w:rFonts w:ascii="Times New Roman" w:hAnsi="Times New Roman" w:cs="Times New Roman"/>
                <w:sz w:val="24"/>
                <w:szCs w:val="24"/>
                <w:vertAlign w:val="superscript"/>
              </w:rPr>
              <w:t>1</w:t>
            </w:r>
            <w:r w:rsidRPr="003A7B61">
              <w:rPr>
                <w:rFonts w:ascii="Times New Roman" w:hAnsi="Times New Roman" w:cs="Times New Roman"/>
                <w:sz w:val="24"/>
                <w:szCs w:val="24"/>
              </w:rPr>
              <w:t xml:space="preserve"> -fluoritud kasvuhoonegaaside ebaseaduslik import). R-404A keskmine turuhind on ligikaudu 25–40 €/kg (muutub ajas). 1000 kg x 30 teeb kauba turuväärtuseks 30 000 eurot. Selle viikordne väärtus on 150 000 eurot. </w:t>
            </w:r>
          </w:p>
          <w:p w14:paraId="27285CBE" w14:textId="77777777" w:rsidR="000D6DF0" w:rsidRPr="003A7B61" w:rsidRDefault="000D6DF0" w:rsidP="000D6DF0">
            <w:pPr>
              <w:jc w:val="both"/>
              <w:rPr>
                <w:rFonts w:ascii="Times New Roman" w:hAnsi="Times New Roman" w:cs="Times New Roman"/>
                <w:sz w:val="24"/>
                <w:szCs w:val="24"/>
              </w:rPr>
            </w:pPr>
          </w:p>
          <w:p w14:paraId="527AAEFA" w14:textId="77777777" w:rsidR="000D6DF0" w:rsidRPr="003A7B61" w:rsidRDefault="000D6DF0" w:rsidP="000D6DF0">
            <w:pPr>
              <w:jc w:val="both"/>
              <w:rPr>
                <w:rFonts w:ascii="Times New Roman" w:hAnsi="Times New Roman" w:cs="Times New Roman"/>
                <w:sz w:val="24"/>
                <w:szCs w:val="24"/>
              </w:rPr>
            </w:pPr>
          </w:p>
          <w:p w14:paraId="47979160" w14:textId="77777777" w:rsidR="000D6DF0" w:rsidRPr="003A7B61" w:rsidRDefault="000D6DF0" w:rsidP="000D6DF0">
            <w:pPr>
              <w:jc w:val="both"/>
              <w:rPr>
                <w:rFonts w:ascii="Times New Roman" w:hAnsi="Times New Roman" w:cs="Times New Roman"/>
                <w:sz w:val="24"/>
                <w:szCs w:val="24"/>
              </w:rPr>
            </w:pPr>
            <w:r w:rsidRPr="003A7B61">
              <w:rPr>
                <w:rFonts w:ascii="Times New Roman" w:hAnsi="Times New Roman" w:cs="Times New Roman"/>
                <w:sz w:val="24"/>
                <w:szCs w:val="24"/>
              </w:rPr>
              <w:t>Näide 2.</w:t>
            </w:r>
          </w:p>
          <w:p w14:paraId="1CB0E093" w14:textId="77777777" w:rsidR="000D6DF0" w:rsidRPr="003A7B61" w:rsidRDefault="000D6DF0" w:rsidP="000D6DF0">
            <w:pPr>
              <w:ind w:right="6"/>
              <w:jc w:val="both"/>
              <w:rPr>
                <w:rFonts w:ascii="Times New Roman" w:hAnsi="Times New Roman" w:cs="Times New Roman"/>
                <w:color w:val="000000"/>
                <w:sz w:val="24"/>
                <w:szCs w:val="24"/>
              </w:rPr>
            </w:pPr>
            <w:r w:rsidRPr="003A7B61">
              <w:rPr>
                <w:rFonts w:ascii="Times New Roman" w:hAnsi="Times New Roman" w:cs="Times New Roman"/>
                <w:sz w:val="24"/>
                <w:szCs w:val="24"/>
              </w:rPr>
              <w:t xml:space="preserve">Ettevõte toob turule 100 ebaseaduslikku soojuspumpa (rikkumine vastavalt AÕKS </w:t>
            </w:r>
            <w:r w:rsidRPr="003A7B61">
              <w:rPr>
                <w:rFonts w:ascii="Times New Roman" w:hAnsi="Times New Roman" w:cs="Times New Roman"/>
                <w:color w:val="000000"/>
                <w:sz w:val="24"/>
                <w:szCs w:val="24"/>
              </w:rPr>
              <w:t>§ 244 -  fluoritud kasvuhoonegaase sisaldava või nendel ainetel põhineva toote, seadme ebaseaduslik turule laskmine).</w:t>
            </w:r>
          </w:p>
          <w:p w14:paraId="48A432EE" w14:textId="77777777" w:rsidR="000D6DF0" w:rsidRPr="003A7B61" w:rsidRDefault="000D6DF0" w:rsidP="000D6DF0">
            <w:pPr>
              <w:ind w:right="6"/>
              <w:jc w:val="both"/>
              <w:rPr>
                <w:rFonts w:ascii="Times New Roman" w:hAnsi="Times New Roman" w:cs="Times New Roman"/>
                <w:color w:val="000000"/>
                <w:sz w:val="24"/>
                <w:szCs w:val="24"/>
              </w:rPr>
            </w:pPr>
            <w:r w:rsidRPr="003A7B61">
              <w:rPr>
                <w:rFonts w:ascii="Times New Roman" w:hAnsi="Times New Roman" w:cs="Times New Roman"/>
                <w:color w:val="000000"/>
                <w:sz w:val="24"/>
                <w:szCs w:val="24"/>
              </w:rPr>
              <w:t xml:space="preserve">Kui eeldame, et ühe soojuspumba turuväärtus on 2000 eurot on koguväärtus 200 000 eurot. Selle viiekordne turuväärtus on 1 000 000 eurot. </w:t>
            </w:r>
          </w:p>
          <w:p w14:paraId="5E42B1E5" w14:textId="77777777" w:rsidR="000D6DF0" w:rsidRPr="003A7B61" w:rsidRDefault="000D6DF0" w:rsidP="000D6DF0">
            <w:pPr>
              <w:jc w:val="both"/>
              <w:rPr>
                <w:rFonts w:ascii="Times New Roman" w:hAnsi="Times New Roman" w:cs="Times New Roman"/>
                <w:sz w:val="24"/>
                <w:szCs w:val="24"/>
              </w:rPr>
            </w:pPr>
          </w:p>
          <w:p w14:paraId="3FAF8B70" w14:textId="380C3832" w:rsidR="000D6DF0" w:rsidRPr="003A7B61" w:rsidRDefault="000D6DF0" w:rsidP="000D6DF0">
            <w:pPr>
              <w:jc w:val="both"/>
              <w:outlineLvl w:val="2"/>
              <w:rPr>
                <w:rFonts w:ascii="Times New Roman" w:hAnsi="Times New Roman" w:cs="Times New Roman"/>
                <w:sz w:val="24"/>
                <w:szCs w:val="24"/>
              </w:rPr>
            </w:pPr>
            <w:r w:rsidRPr="003A7B61">
              <w:rPr>
                <w:rFonts w:ascii="Times New Roman" w:hAnsi="Times New Roman" w:cs="Times New Roman"/>
                <w:sz w:val="24"/>
                <w:szCs w:val="24"/>
              </w:rPr>
              <w:t>Näide 3.</w:t>
            </w:r>
          </w:p>
          <w:p w14:paraId="4C851B15" w14:textId="77777777" w:rsidR="000D6DF0" w:rsidRPr="003A7B61" w:rsidRDefault="000D6DF0" w:rsidP="000D6DF0">
            <w:pPr>
              <w:jc w:val="both"/>
              <w:outlineLvl w:val="2"/>
              <w:rPr>
                <w:rFonts w:ascii="Times New Roman" w:hAnsi="Times New Roman" w:cs="Times New Roman"/>
                <w:sz w:val="24"/>
                <w:szCs w:val="24"/>
              </w:rPr>
            </w:pPr>
            <w:r w:rsidRPr="003A7B61">
              <w:rPr>
                <w:rFonts w:ascii="Times New Roman" w:hAnsi="Times New Roman" w:cs="Times New Roman"/>
                <w:sz w:val="24"/>
                <w:szCs w:val="24"/>
              </w:rPr>
              <w:t>Eraisik lase EL turule illegaalsed ühekordsed mahutid (5 tk – kokku 50kg) ainega külmaainega R410A. R-410A ligikaudne hinnanguline turuhind on 20 eurot/kg. Kokku seega 1000 eurot. Viiekordne turuväärtus on 5000 eurot, mis on ka trahvi suurus eraisikule.</w:t>
            </w:r>
          </w:p>
          <w:p w14:paraId="296CD4D7" w14:textId="77777777" w:rsidR="000D6DF0" w:rsidRPr="003A7B61" w:rsidRDefault="000D6DF0" w:rsidP="000D6DF0">
            <w:pPr>
              <w:jc w:val="both"/>
              <w:outlineLvl w:val="2"/>
              <w:rPr>
                <w:rFonts w:ascii="Times New Roman" w:hAnsi="Times New Roman" w:cs="Times New Roman"/>
                <w:sz w:val="24"/>
                <w:szCs w:val="24"/>
              </w:rPr>
            </w:pPr>
          </w:p>
          <w:p w14:paraId="4F2DF846" w14:textId="431287B1" w:rsidR="000D6DF0" w:rsidRPr="003A7B61" w:rsidRDefault="000D6DF0" w:rsidP="000D6DF0">
            <w:pPr>
              <w:jc w:val="both"/>
              <w:outlineLvl w:val="2"/>
              <w:rPr>
                <w:rFonts w:ascii="Times New Roman" w:hAnsi="Times New Roman" w:cs="Times New Roman"/>
                <w:sz w:val="24"/>
                <w:szCs w:val="24"/>
              </w:rPr>
            </w:pPr>
            <w:r w:rsidRPr="003A7B61">
              <w:rPr>
                <w:rFonts w:ascii="Times New Roman" w:hAnsi="Times New Roman" w:cs="Times New Roman"/>
                <w:sz w:val="24"/>
                <w:szCs w:val="24"/>
              </w:rPr>
              <w:t xml:space="preserve">Näited ilmestavad, et turuväärtusepõhised trahvimäärad on heidutava, mõjusad ja otseses seoses väärteo suurusega, ulatusega (mida </w:t>
            </w:r>
            <w:r>
              <w:rPr>
                <w:rFonts w:ascii="Times New Roman" w:hAnsi="Times New Roman" w:cs="Times New Roman"/>
                <w:sz w:val="24"/>
                <w:szCs w:val="24"/>
              </w:rPr>
              <w:t>suurem rikkumine</w:t>
            </w:r>
            <w:r w:rsidRPr="003A7B61">
              <w:rPr>
                <w:rFonts w:ascii="Times New Roman" w:hAnsi="Times New Roman" w:cs="Times New Roman"/>
                <w:sz w:val="24"/>
                <w:szCs w:val="24"/>
              </w:rPr>
              <w:t xml:space="preserve">, seda </w:t>
            </w:r>
            <w:r>
              <w:rPr>
                <w:rFonts w:ascii="Times New Roman" w:hAnsi="Times New Roman" w:cs="Times New Roman"/>
                <w:sz w:val="24"/>
                <w:szCs w:val="24"/>
              </w:rPr>
              <w:t>kõrgem trahv</w:t>
            </w:r>
            <w:r w:rsidRPr="003A7B61">
              <w:rPr>
                <w:rFonts w:ascii="Times New Roman" w:hAnsi="Times New Roman" w:cs="Times New Roman"/>
                <w:sz w:val="24"/>
                <w:szCs w:val="24"/>
              </w:rPr>
              <w:t>).</w:t>
            </w:r>
          </w:p>
          <w:p w14:paraId="775D2888" w14:textId="77777777" w:rsidR="000D6DF0" w:rsidRPr="007A3162" w:rsidRDefault="000D6DF0" w:rsidP="000D6DF0">
            <w:pPr>
              <w:jc w:val="both"/>
              <w:outlineLvl w:val="2"/>
              <w:rPr>
                <w:rFonts w:ascii="Times New Roman" w:hAnsi="Times New Roman" w:cs="Times New Roman"/>
                <w:sz w:val="24"/>
                <w:szCs w:val="24"/>
              </w:rPr>
            </w:pPr>
          </w:p>
          <w:p w14:paraId="05AF0080" w14:textId="77777777" w:rsidR="000D6DF0" w:rsidRPr="007A3162" w:rsidRDefault="000D6DF0" w:rsidP="000D6DF0">
            <w:pPr>
              <w:jc w:val="both"/>
              <w:outlineLvl w:val="2"/>
              <w:rPr>
                <w:rFonts w:ascii="Times New Roman" w:hAnsi="Times New Roman" w:cs="Times New Roman"/>
                <w:sz w:val="24"/>
                <w:szCs w:val="24"/>
              </w:rPr>
            </w:pPr>
          </w:p>
          <w:p w14:paraId="2CE01850" w14:textId="2B47A829" w:rsidR="000D6DF0" w:rsidRPr="007B2618" w:rsidRDefault="000D6DF0" w:rsidP="000D6DF0">
            <w:pPr>
              <w:jc w:val="both"/>
              <w:rPr>
                <w:rFonts w:ascii="Times New Roman" w:hAnsi="Times New Roman" w:cs="Times New Roman"/>
                <w:sz w:val="24"/>
                <w:szCs w:val="24"/>
              </w:rPr>
            </w:pPr>
          </w:p>
        </w:tc>
      </w:tr>
      <w:tr w:rsidR="000D6DF0" w:rsidRPr="00110EE7" w14:paraId="678D4D0E" w14:textId="77777777" w:rsidTr="00AA72ED">
        <w:tc>
          <w:tcPr>
            <w:tcW w:w="562" w:type="dxa"/>
          </w:tcPr>
          <w:p w14:paraId="6719BABB" w14:textId="7815D0F5"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lastRenderedPageBreak/>
              <w:t>7</w:t>
            </w:r>
          </w:p>
        </w:tc>
        <w:tc>
          <w:tcPr>
            <w:tcW w:w="6946" w:type="dxa"/>
          </w:tcPr>
          <w:p w14:paraId="25ACC172"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b/>
                <w:bCs/>
                <w:sz w:val="24"/>
                <w:szCs w:val="24"/>
              </w:rPr>
              <w:t>Eelnõu § 1 p-dega 30, 31, 36, 39 ja 40</w:t>
            </w:r>
            <w:r w:rsidRPr="00110EE7">
              <w:rPr>
                <w:rFonts w:ascii="Times New Roman" w:hAnsi="Times New Roman" w:cs="Times New Roman"/>
                <w:sz w:val="24"/>
                <w:szCs w:val="24"/>
              </w:rPr>
              <w:t xml:space="preserve"> nähakse ette väärteokoosseisud, mille puhul ei ole eraldi lõikes sätestatud juriidilise isiku vastutust. Eeldades, et eelnõu koostajate eesmärk ei ole olnud välistada juriidilise isiku vastutust, juhime tähelepanu järgnevale. </w:t>
            </w:r>
          </w:p>
          <w:p w14:paraId="6F860775" w14:textId="77777777" w:rsidR="000D6DF0" w:rsidRPr="00110EE7" w:rsidRDefault="000D6DF0" w:rsidP="000D6DF0">
            <w:pPr>
              <w:pStyle w:val="Vahedeta"/>
              <w:jc w:val="both"/>
              <w:rPr>
                <w:rFonts w:ascii="Times New Roman" w:hAnsi="Times New Roman" w:cs="Times New Roman"/>
                <w:sz w:val="24"/>
                <w:szCs w:val="24"/>
              </w:rPr>
            </w:pPr>
          </w:p>
          <w:p w14:paraId="03D8F391"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Normitehnika käsiraamatu § 16 kohaselt tuleb säte sõnastada õigusnormi liigile vastava struktuuri kohaselt. Karistuspoliitikas on oluline, et süüteokoosseise sisaldava eelnõu ettevalmistamisel arvestataks karistusseadustiku põhimõtteid. Karistusseadustiku eriosa süüteokoosseisude sõnastamisel tuleb järgida seadustiku kui terviku keelelist ühtsust. Karistusseadustiku tüüpväljendeid tuleb järgida kvalifitseeritud ja privilegeeritud süüteokoosseisude sõnastamisel, juriidilise isiku vastutuse kehtestamisel ja muu sellesarnase konteksti sõnastuses. </w:t>
            </w:r>
          </w:p>
          <w:p w14:paraId="3504B00F" w14:textId="77777777" w:rsidR="000D6DF0" w:rsidRPr="00110EE7" w:rsidRDefault="000D6DF0" w:rsidP="000D6DF0">
            <w:pPr>
              <w:pStyle w:val="Vahedeta"/>
              <w:ind w:left="360"/>
              <w:jc w:val="both"/>
              <w:rPr>
                <w:rFonts w:ascii="Times New Roman" w:hAnsi="Times New Roman" w:cs="Times New Roman"/>
                <w:sz w:val="24"/>
                <w:szCs w:val="24"/>
              </w:rPr>
            </w:pPr>
          </w:p>
          <w:p w14:paraId="0FE2F3A3"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 xml:space="preserve">Karistusseadustiku põhimõtete kohaselt tuleb juriidilise isiku vastutuse koosseis sätestada eraldi lõikes, järgides järgmist tüüpväljendust: </w:t>
            </w:r>
          </w:p>
          <w:p w14:paraId="10A972EF" w14:textId="77777777" w:rsidR="000D6DF0" w:rsidRPr="00110EE7" w:rsidRDefault="000D6DF0" w:rsidP="000D6DF0">
            <w:pPr>
              <w:pStyle w:val="Vahedeta"/>
              <w:ind w:left="360"/>
              <w:jc w:val="both"/>
              <w:rPr>
                <w:rFonts w:ascii="Times New Roman" w:hAnsi="Times New Roman" w:cs="Times New Roman"/>
                <w:sz w:val="24"/>
                <w:szCs w:val="24"/>
              </w:rPr>
            </w:pPr>
          </w:p>
          <w:p w14:paraId="4FAAEF93"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„(2) Sama teo eest, kui selle on toime pannud juriidiline isik, –</w:t>
            </w:r>
          </w:p>
          <w:p w14:paraId="6BB5AF72"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w:t>
            </w:r>
          </w:p>
          <w:p w14:paraId="34188879" w14:textId="77777777" w:rsidR="000D6DF0" w:rsidRPr="00110EE7" w:rsidRDefault="000D6DF0" w:rsidP="000D6DF0">
            <w:pPr>
              <w:pStyle w:val="Vahedeta"/>
              <w:ind w:left="360"/>
              <w:jc w:val="both"/>
              <w:rPr>
                <w:rFonts w:ascii="Times New Roman" w:hAnsi="Times New Roman" w:cs="Times New Roman"/>
                <w:sz w:val="24"/>
                <w:szCs w:val="24"/>
              </w:rPr>
            </w:pPr>
          </w:p>
          <w:p w14:paraId="2C385EB4"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Juriidilise isiku vastutuse koosseis on karistusseadustikus sätestatud eraldi lõikena ka juhul, kui füüsilisele ja juriidilisele isikule ettenähtav karistusmäär on identne (vrd nt KarS § 365 lg-d 1 ja 2, § 365</w:t>
            </w:r>
            <w:r w:rsidRPr="00110EE7">
              <w:rPr>
                <w:rFonts w:ascii="Times New Roman" w:hAnsi="Times New Roman" w:cs="Times New Roman"/>
                <w:sz w:val="24"/>
                <w:szCs w:val="24"/>
                <w:vertAlign w:val="superscript"/>
              </w:rPr>
              <w:t>2</w:t>
            </w:r>
            <w:r w:rsidRPr="00110EE7">
              <w:rPr>
                <w:rFonts w:ascii="Times New Roman" w:hAnsi="Times New Roman" w:cs="Times New Roman"/>
                <w:sz w:val="24"/>
                <w:szCs w:val="24"/>
              </w:rPr>
              <w:t xml:space="preserve"> ja § 370).</w:t>
            </w:r>
          </w:p>
          <w:p w14:paraId="0995E394" w14:textId="77777777" w:rsidR="000D6DF0" w:rsidRPr="00110EE7" w:rsidRDefault="000D6DF0" w:rsidP="000D6DF0">
            <w:pPr>
              <w:pStyle w:val="Vahedeta"/>
              <w:ind w:left="360"/>
              <w:jc w:val="both"/>
              <w:rPr>
                <w:rFonts w:ascii="Times New Roman" w:hAnsi="Times New Roman" w:cs="Times New Roman"/>
                <w:sz w:val="24"/>
                <w:szCs w:val="24"/>
              </w:rPr>
            </w:pPr>
          </w:p>
          <w:p w14:paraId="5648637B"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Palume sätestada juriidilise isiku vastutuse koosseisud eraldi lõikena.</w:t>
            </w:r>
          </w:p>
          <w:p w14:paraId="611D8C98" w14:textId="77777777" w:rsidR="000D6DF0" w:rsidRPr="00110EE7" w:rsidRDefault="000D6DF0" w:rsidP="000D6DF0">
            <w:pPr>
              <w:pStyle w:val="Vahedeta"/>
              <w:jc w:val="both"/>
              <w:rPr>
                <w:rFonts w:ascii="Times New Roman" w:hAnsi="Times New Roman" w:cs="Times New Roman"/>
                <w:b/>
                <w:bCs/>
                <w:sz w:val="24"/>
                <w:szCs w:val="24"/>
              </w:rPr>
            </w:pPr>
          </w:p>
        </w:tc>
        <w:tc>
          <w:tcPr>
            <w:tcW w:w="2268" w:type="dxa"/>
          </w:tcPr>
          <w:p w14:paraId="45A79C4E" w14:textId="65F73607" w:rsidR="000D6DF0" w:rsidRPr="00110EE7" w:rsidRDefault="000D6DF0" w:rsidP="000D6DF0">
            <w:pPr>
              <w:jc w:val="both"/>
              <w:rPr>
                <w:rFonts w:ascii="Times New Roman" w:hAnsi="Times New Roman" w:cs="Times New Roman"/>
                <w:b/>
                <w:bCs/>
                <w:sz w:val="24"/>
                <w:szCs w:val="24"/>
              </w:rPr>
            </w:pPr>
            <w:r>
              <w:rPr>
                <w:rFonts w:ascii="Times New Roman" w:hAnsi="Times New Roman" w:cs="Times New Roman"/>
                <w:b/>
                <w:bCs/>
                <w:sz w:val="24"/>
                <w:szCs w:val="24"/>
              </w:rPr>
              <w:lastRenderedPageBreak/>
              <w:t>Arvestatud</w:t>
            </w:r>
          </w:p>
        </w:tc>
        <w:tc>
          <w:tcPr>
            <w:tcW w:w="4218" w:type="dxa"/>
          </w:tcPr>
          <w:p w14:paraId="4A242431" w14:textId="34951488" w:rsidR="000D6DF0" w:rsidRPr="00110EE7" w:rsidRDefault="000D6DF0" w:rsidP="000D6DF0">
            <w:pPr>
              <w:jc w:val="both"/>
              <w:rPr>
                <w:rFonts w:ascii="Times New Roman" w:hAnsi="Times New Roman" w:cs="Times New Roman"/>
                <w:b/>
                <w:bCs/>
                <w:sz w:val="24"/>
                <w:szCs w:val="24"/>
              </w:rPr>
            </w:pPr>
            <w:r>
              <w:rPr>
                <w:rFonts w:ascii="Times New Roman" w:hAnsi="Times New Roman" w:cs="Times New Roman"/>
                <w:sz w:val="24"/>
                <w:szCs w:val="24"/>
              </w:rPr>
              <w:t>Ee</w:t>
            </w:r>
            <w:r w:rsidRPr="002539CF">
              <w:rPr>
                <w:rFonts w:ascii="Times New Roman" w:hAnsi="Times New Roman" w:cs="Times New Roman"/>
                <w:sz w:val="24"/>
                <w:szCs w:val="24"/>
              </w:rPr>
              <w:t>lnõu</w:t>
            </w:r>
            <w:r>
              <w:rPr>
                <w:rFonts w:ascii="Times New Roman" w:hAnsi="Times New Roman" w:cs="Times New Roman"/>
                <w:sz w:val="24"/>
                <w:szCs w:val="24"/>
              </w:rPr>
              <w:t xml:space="preserve"> täiendatud</w:t>
            </w:r>
            <w:r w:rsidRPr="002539CF">
              <w:rPr>
                <w:rFonts w:ascii="Times New Roman" w:hAnsi="Times New Roman" w:cs="Times New Roman"/>
                <w:sz w:val="24"/>
                <w:szCs w:val="24"/>
              </w:rPr>
              <w:t xml:space="preserve"> juriidilise isiku vastutuse koo</w:t>
            </w:r>
            <w:r w:rsidR="004E64B5">
              <w:rPr>
                <w:rFonts w:ascii="Times New Roman" w:hAnsi="Times New Roman" w:cs="Times New Roman"/>
                <w:sz w:val="24"/>
                <w:szCs w:val="24"/>
              </w:rPr>
              <w:t>s</w:t>
            </w:r>
            <w:r w:rsidRPr="002539CF">
              <w:rPr>
                <w:rFonts w:ascii="Times New Roman" w:hAnsi="Times New Roman" w:cs="Times New Roman"/>
                <w:sz w:val="24"/>
                <w:szCs w:val="24"/>
              </w:rPr>
              <w:t>seisud</w:t>
            </w:r>
            <w:r>
              <w:rPr>
                <w:rFonts w:ascii="Times New Roman" w:hAnsi="Times New Roman" w:cs="Times New Roman"/>
                <w:sz w:val="24"/>
                <w:szCs w:val="24"/>
              </w:rPr>
              <w:t>ega vastavates paragrahvides.</w:t>
            </w:r>
          </w:p>
        </w:tc>
      </w:tr>
      <w:tr w:rsidR="000D6DF0" w:rsidRPr="00110EE7" w14:paraId="1B758958" w14:textId="77777777" w:rsidTr="00AA72ED">
        <w:tc>
          <w:tcPr>
            <w:tcW w:w="562" w:type="dxa"/>
          </w:tcPr>
          <w:p w14:paraId="5459183D" w14:textId="7836F3F1"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t>8</w:t>
            </w:r>
          </w:p>
        </w:tc>
        <w:tc>
          <w:tcPr>
            <w:tcW w:w="6946" w:type="dxa"/>
          </w:tcPr>
          <w:p w14:paraId="6F394D13" w14:textId="77777777" w:rsidR="000D6DF0" w:rsidRPr="00110EE7" w:rsidRDefault="000D6DF0" w:rsidP="000D6DF0">
            <w:pPr>
              <w:pStyle w:val="Vahedeta"/>
              <w:jc w:val="both"/>
              <w:rPr>
                <w:rFonts w:ascii="Times New Roman" w:hAnsi="Times New Roman" w:cs="Times New Roman"/>
                <w:color w:val="202020"/>
                <w:sz w:val="24"/>
                <w:szCs w:val="24"/>
                <w:shd w:val="clear" w:color="auto" w:fill="FFFFFF"/>
              </w:rPr>
            </w:pPr>
            <w:r w:rsidRPr="00110EE7">
              <w:rPr>
                <w:rFonts w:ascii="Times New Roman" w:hAnsi="Times New Roman" w:cs="Times New Roman"/>
                <w:b/>
                <w:bCs/>
                <w:color w:val="202020"/>
                <w:sz w:val="24"/>
                <w:szCs w:val="24"/>
                <w:shd w:val="clear" w:color="auto" w:fill="FFFFFF"/>
              </w:rPr>
              <w:t>Eelnõu § 1 punktiga 30</w:t>
            </w:r>
            <w:r w:rsidRPr="00110EE7">
              <w:rPr>
                <w:rFonts w:ascii="Times New Roman" w:hAnsi="Times New Roman" w:cs="Times New Roman"/>
                <w:color w:val="202020"/>
                <w:sz w:val="24"/>
                <w:szCs w:val="24"/>
                <w:shd w:val="clear" w:color="auto" w:fill="FFFFFF"/>
              </w:rPr>
              <w:t xml:space="preserve"> täiendatakse seadust AÕKS §-ga 236</w:t>
            </w:r>
            <w:r w:rsidRPr="00110EE7">
              <w:rPr>
                <w:rFonts w:ascii="Times New Roman" w:hAnsi="Times New Roman" w:cs="Times New Roman"/>
                <w:color w:val="202020"/>
                <w:sz w:val="24"/>
                <w:szCs w:val="24"/>
                <w:shd w:val="clear" w:color="auto" w:fill="FFFFFF"/>
                <w:vertAlign w:val="superscript"/>
              </w:rPr>
              <w:t>1</w:t>
            </w:r>
            <w:r w:rsidRPr="00110EE7">
              <w:rPr>
                <w:rFonts w:ascii="Times New Roman" w:hAnsi="Times New Roman" w:cs="Times New Roman"/>
                <w:color w:val="202020"/>
                <w:sz w:val="24"/>
                <w:szCs w:val="24"/>
                <w:shd w:val="clear" w:color="auto" w:fill="FFFFFF"/>
              </w:rPr>
              <w:t>, mille lõigetes 3 ja 4 on sätestatud rahatrahvi arvestamise aluseks oleva turuväärtuse leidmise juhised. Jääb ebaselgeks, kas eelnõu koostajate arusaama kohaselt rakenduvad lõiked 3 ja 4 vaid AÕKS §-s 236</w:t>
            </w:r>
            <w:r w:rsidRPr="00110EE7">
              <w:rPr>
                <w:rFonts w:ascii="Times New Roman" w:hAnsi="Times New Roman" w:cs="Times New Roman"/>
                <w:color w:val="202020"/>
                <w:sz w:val="24"/>
                <w:szCs w:val="24"/>
                <w:shd w:val="clear" w:color="auto" w:fill="FFFFFF"/>
                <w:vertAlign w:val="superscript"/>
              </w:rPr>
              <w:t>1</w:t>
            </w:r>
            <w:r w:rsidRPr="00110EE7">
              <w:rPr>
                <w:rFonts w:ascii="Times New Roman" w:hAnsi="Times New Roman" w:cs="Times New Roman"/>
                <w:color w:val="202020"/>
                <w:sz w:val="24"/>
                <w:szCs w:val="24"/>
                <w:shd w:val="clear" w:color="auto" w:fill="FFFFFF"/>
              </w:rPr>
              <w:t xml:space="preserve"> ettenähtud rahatrahvi määramisel. Tasub tähele panna, et ka AÕKS §-des 238, 240</w:t>
            </w:r>
            <w:r w:rsidRPr="00110EE7">
              <w:rPr>
                <w:rFonts w:ascii="Times New Roman" w:hAnsi="Times New Roman" w:cs="Times New Roman"/>
                <w:color w:val="202020"/>
                <w:sz w:val="24"/>
                <w:szCs w:val="24"/>
                <w:shd w:val="clear" w:color="auto" w:fill="FFFFFF"/>
                <w:vertAlign w:val="superscript"/>
              </w:rPr>
              <w:t>1</w:t>
            </w:r>
            <w:r w:rsidRPr="00110EE7">
              <w:rPr>
                <w:rFonts w:ascii="Times New Roman" w:hAnsi="Times New Roman" w:cs="Times New Roman"/>
                <w:color w:val="202020"/>
                <w:sz w:val="24"/>
                <w:szCs w:val="24"/>
                <w:shd w:val="clear" w:color="auto" w:fill="FFFFFF"/>
              </w:rPr>
              <w:t>, 244 ja 244</w:t>
            </w:r>
            <w:r w:rsidRPr="00110EE7">
              <w:rPr>
                <w:rFonts w:ascii="Times New Roman" w:hAnsi="Times New Roman" w:cs="Times New Roman"/>
                <w:color w:val="202020"/>
                <w:sz w:val="24"/>
                <w:szCs w:val="24"/>
                <w:shd w:val="clear" w:color="auto" w:fill="FFFFFF"/>
                <w:vertAlign w:val="superscript"/>
              </w:rPr>
              <w:t xml:space="preserve">1 </w:t>
            </w:r>
            <w:r w:rsidRPr="00110EE7">
              <w:rPr>
                <w:rFonts w:ascii="Times New Roman" w:hAnsi="Times New Roman" w:cs="Times New Roman"/>
                <w:color w:val="202020"/>
                <w:sz w:val="24"/>
                <w:szCs w:val="24"/>
                <w:shd w:val="clear" w:color="auto" w:fill="FFFFFF"/>
              </w:rPr>
              <w:t>sätestatud väärteokoosseisudes on rahatrahvi suurus seotud eseme turuväärtusega. Rahatrahvi määramiseks vajaliku turuväärtuse arvestamise alused tuleks meie hinnangul sätestada eraldi üldise paragrahvina nagu seda on tehtud väärtpaberituru seaduse (VTPS) § 262</w:t>
            </w:r>
            <w:r w:rsidRPr="00110EE7">
              <w:rPr>
                <w:rFonts w:ascii="Times New Roman" w:hAnsi="Times New Roman" w:cs="Times New Roman"/>
                <w:color w:val="202020"/>
                <w:sz w:val="24"/>
                <w:szCs w:val="24"/>
                <w:shd w:val="clear" w:color="auto" w:fill="FFFFFF"/>
                <w:vertAlign w:val="superscript"/>
              </w:rPr>
              <w:t>1</w:t>
            </w:r>
            <w:r w:rsidRPr="00110EE7">
              <w:rPr>
                <w:rFonts w:ascii="Times New Roman" w:hAnsi="Times New Roman" w:cs="Times New Roman"/>
                <w:color w:val="202020"/>
                <w:sz w:val="24"/>
                <w:szCs w:val="24"/>
                <w:shd w:val="clear" w:color="auto" w:fill="FFFFFF"/>
              </w:rPr>
              <w:t xml:space="preserve"> lg-s 1: </w:t>
            </w:r>
          </w:p>
          <w:p w14:paraId="044EBABB" w14:textId="77777777" w:rsidR="000D6DF0" w:rsidRPr="00110EE7" w:rsidRDefault="000D6DF0" w:rsidP="000D6DF0">
            <w:pPr>
              <w:pStyle w:val="Vahedeta"/>
              <w:ind w:left="720"/>
              <w:jc w:val="both"/>
              <w:rPr>
                <w:rFonts w:ascii="Times New Roman" w:hAnsi="Times New Roman" w:cs="Times New Roman"/>
                <w:color w:val="202020"/>
                <w:sz w:val="24"/>
                <w:szCs w:val="24"/>
                <w:shd w:val="clear" w:color="auto" w:fill="FFFFFF"/>
              </w:rPr>
            </w:pPr>
          </w:p>
          <w:tbl>
            <w:tblPr>
              <w:tblStyle w:val="Kontuurtabel"/>
              <w:tblW w:w="0" w:type="auto"/>
              <w:tblInd w:w="421" w:type="dxa"/>
              <w:tblLook w:val="04A0" w:firstRow="1" w:lastRow="0" w:firstColumn="1" w:lastColumn="0" w:noHBand="0" w:noVBand="1"/>
            </w:tblPr>
            <w:tblGrid>
              <w:gridCol w:w="6299"/>
            </w:tblGrid>
            <w:tr w:rsidR="000D6DF0" w:rsidRPr="00110EE7" w14:paraId="4C2C450E" w14:textId="77777777" w:rsidTr="00850C19">
              <w:tc>
                <w:tcPr>
                  <w:tcW w:w="8397" w:type="dxa"/>
                </w:tcPr>
                <w:p w14:paraId="5B5E4FE7" w14:textId="77777777" w:rsidR="000D6DF0" w:rsidRPr="00110EE7" w:rsidRDefault="000D6DF0" w:rsidP="000D6DF0">
                  <w:pPr>
                    <w:pStyle w:val="Vahedeta"/>
                    <w:jc w:val="both"/>
                    <w:rPr>
                      <w:rFonts w:ascii="Times New Roman" w:hAnsi="Times New Roman" w:cs="Times New Roman"/>
                      <w:b/>
                      <w:bCs/>
                      <w:color w:val="202020"/>
                      <w:sz w:val="24"/>
                      <w:szCs w:val="24"/>
                      <w:shd w:val="clear" w:color="auto" w:fill="FFFFFF"/>
                    </w:rPr>
                  </w:pPr>
                  <w:r w:rsidRPr="00110EE7">
                    <w:rPr>
                      <w:rFonts w:ascii="Times New Roman" w:hAnsi="Times New Roman" w:cs="Times New Roman"/>
                      <w:b/>
                      <w:bCs/>
                      <w:color w:val="202020"/>
                      <w:sz w:val="24"/>
                      <w:szCs w:val="24"/>
                      <w:shd w:val="clear" w:color="auto" w:fill="FFFFFF"/>
                    </w:rPr>
                    <w:t>VPTS § 262</w:t>
                  </w:r>
                  <w:r w:rsidRPr="00110EE7">
                    <w:rPr>
                      <w:rFonts w:ascii="Times New Roman" w:hAnsi="Times New Roman" w:cs="Times New Roman"/>
                      <w:b/>
                      <w:bCs/>
                      <w:color w:val="202020"/>
                      <w:sz w:val="24"/>
                      <w:szCs w:val="24"/>
                      <w:shd w:val="clear" w:color="auto" w:fill="FFFFFF"/>
                      <w:vertAlign w:val="superscript"/>
                    </w:rPr>
                    <w:t>1</w:t>
                  </w:r>
                  <w:r w:rsidRPr="00110EE7">
                    <w:rPr>
                      <w:rFonts w:ascii="Times New Roman" w:hAnsi="Times New Roman" w:cs="Times New Roman"/>
                      <w:b/>
                      <w:bCs/>
                      <w:color w:val="202020"/>
                      <w:sz w:val="24"/>
                      <w:szCs w:val="24"/>
                      <w:shd w:val="clear" w:color="auto" w:fill="FFFFFF"/>
                    </w:rPr>
                    <w:t xml:space="preserve">. </w:t>
                  </w:r>
                  <w:bookmarkStart w:id="4" w:name="para262b1"/>
                  <w:r w:rsidRPr="00110EE7">
                    <w:rPr>
                      <w:rFonts w:ascii="Times New Roman" w:hAnsi="Times New Roman" w:cs="Times New Roman"/>
                      <w:b/>
                      <w:bCs/>
                      <w:color w:val="202020"/>
                      <w:sz w:val="24"/>
                      <w:szCs w:val="24"/>
                      <w:shd w:val="clear" w:color="auto" w:fill="FFFFFF"/>
                    </w:rPr>
                    <w:t> </w:t>
                  </w:r>
                  <w:bookmarkEnd w:id="4"/>
                  <w:r w:rsidRPr="00110EE7">
                    <w:rPr>
                      <w:rFonts w:ascii="Times New Roman" w:hAnsi="Times New Roman" w:cs="Times New Roman"/>
                      <w:b/>
                      <w:bCs/>
                      <w:color w:val="202020"/>
                      <w:sz w:val="24"/>
                      <w:szCs w:val="24"/>
                      <w:shd w:val="clear" w:color="auto" w:fill="FFFFFF"/>
                    </w:rPr>
                    <w:t>Juriidilise isiku ja konsolideerimisgrupi käive</w:t>
                  </w:r>
                </w:p>
              </w:tc>
            </w:tr>
            <w:tr w:rsidR="000D6DF0" w:rsidRPr="00110EE7" w14:paraId="235C88D2" w14:textId="77777777" w:rsidTr="00850C19">
              <w:tc>
                <w:tcPr>
                  <w:tcW w:w="8397" w:type="dxa"/>
                </w:tcPr>
                <w:p w14:paraId="596218C1" w14:textId="77777777" w:rsidR="000D6DF0" w:rsidRPr="00110EE7" w:rsidRDefault="000D6DF0" w:rsidP="000D6DF0">
                  <w:pPr>
                    <w:pStyle w:val="Vahedeta"/>
                    <w:jc w:val="both"/>
                    <w:rPr>
                      <w:rFonts w:ascii="Times New Roman" w:hAnsi="Times New Roman" w:cs="Times New Roman"/>
                      <w:color w:val="202020"/>
                      <w:sz w:val="24"/>
                      <w:szCs w:val="24"/>
                      <w:shd w:val="clear" w:color="auto" w:fill="FFFFFF"/>
                    </w:rPr>
                  </w:pPr>
                  <w:r w:rsidRPr="00110EE7">
                    <w:rPr>
                      <w:rFonts w:ascii="Times New Roman" w:hAnsi="Times New Roman" w:cs="Times New Roman"/>
                      <w:color w:val="202020"/>
                      <w:sz w:val="24"/>
                      <w:szCs w:val="24"/>
                      <w:shd w:val="clear" w:color="auto" w:fill="FFFFFF"/>
                    </w:rPr>
                    <w:t xml:space="preserve"> (1) Käesolevas peatükis nimetatud juriidilise isiku käive on aastane kogukäive vastavalt viimasele kättesaadavale juhtimisorgani kinnitatud raamatupidamise aruandele. Kui juriidiline isik on emaettevõtja või sellise emaettevõtja tütarettevõtja, kes peab koostama konsolideeritud finantsaruandeid, siis on käesoleva lõike esimeses lauses nimetatud kogukäive aastane kogukäive või vastav tululiik </w:t>
                  </w:r>
                  <w:r w:rsidRPr="00110EE7">
                    <w:rPr>
                      <w:rFonts w:ascii="Times New Roman" w:hAnsi="Times New Roman" w:cs="Times New Roman"/>
                      <w:color w:val="202020"/>
                      <w:sz w:val="24"/>
                      <w:szCs w:val="24"/>
                      <w:shd w:val="clear" w:color="auto" w:fill="FFFFFF"/>
                    </w:rPr>
                    <w:lastRenderedPageBreak/>
                    <w:t>viimase kättesaadava konsolideeritud raamatupidamise aruande järgi, mille on heaks kiitnud kõrgeima taseme emaettevõtja juhtimisorgan.</w:t>
                  </w:r>
                </w:p>
              </w:tc>
            </w:tr>
          </w:tbl>
          <w:p w14:paraId="2FF99890" w14:textId="77777777" w:rsidR="000D6DF0" w:rsidRPr="00110EE7" w:rsidRDefault="000D6DF0" w:rsidP="000D6DF0">
            <w:pPr>
              <w:pStyle w:val="Vahedeta"/>
              <w:ind w:left="623"/>
              <w:jc w:val="both"/>
              <w:rPr>
                <w:rFonts w:ascii="Times New Roman" w:hAnsi="Times New Roman" w:cs="Times New Roman"/>
                <w:color w:val="202020"/>
                <w:sz w:val="24"/>
                <w:szCs w:val="24"/>
                <w:shd w:val="clear" w:color="auto" w:fill="FFFFFF"/>
              </w:rPr>
            </w:pPr>
          </w:p>
          <w:p w14:paraId="155E8F9A" w14:textId="77777777" w:rsidR="000D6DF0" w:rsidRPr="00110EE7" w:rsidRDefault="000D6DF0" w:rsidP="000D6DF0">
            <w:pPr>
              <w:pStyle w:val="Vahedeta"/>
              <w:jc w:val="both"/>
              <w:rPr>
                <w:rFonts w:ascii="Times New Roman" w:hAnsi="Times New Roman" w:cs="Times New Roman"/>
                <w:color w:val="202020"/>
                <w:sz w:val="24"/>
                <w:szCs w:val="24"/>
                <w:shd w:val="clear" w:color="auto" w:fill="FFFFFF"/>
              </w:rPr>
            </w:pPr>
            <w:r w:rsidRPr="00110EE7">
              <w:rPr>
                <w:rFonts w:ascii="Times New Roman" w:hAnsi="Times New Roman" w:cs="Times New Roman"/>
                <w:color w:val="202020"/>
                <w:sz w:val="24"/>
                <w:szCs w:val="24"/>
                <w:shd w:val="clear" w:color="auto" w:fill="FFFFFF"/>
              </w:rPr>
              <w:t>Ka juhul, kui eelnõu koostajate hinnangul on osade AÕKS-is nimetatud väärteokoosseisude puhul turuväärtuse arvestamise alused üldreeglist erinevad, on võimalik see erisus välja tuua üldise paragrahvi all eraldi lõike või lõigetena, vt ka väärtpaberituru seaduse § 262</w:t>
            </w:r>
            <w:r w:rsidRPr="00110EE7">
              <w:rPr>
                <w:rFonts w:ascii="Times New Roman" w:hAnsi="Times New Roman" w:cs="Times New Roman"/>
                <w:color w:val="202020"/>
                <w:sz w:val="24"/>
                <w:szCs w:val="24"/>
                <w:shd w:val="clear" w:color="auto" w:fill="FFFFFF"/>
                <w:vertAlign w:val="superscript"/>
              </w:rPr>
              <w:t>1</w:t>
            </w:r>
            <w:r w:rsidRPr="00110EE7">
              <w:rPr>
                <w:rFonts w:ascii="Times New Roman" w:hAnsi="Times New Roman" w:cs="Times New Roman"/>
                <w:color w:val="202020"/>
                <w:sz w:val="24"/>
                <w:szCs w:val="24"/>
                <w:shd w:val="clear" w:color="auto" w:fill="FFFFFF"/>
              </w:rPr>
              <w:t xml:space="preserve"> lg-d 2 ja 3:</w:t>
            </w:r>
          </w:p>
          <w:p w14:paraId="67B7BEC4" w14:textId="77777777" w:rsidR="000D6DF0" w:rsidRPr="00110EE7" w:rsidRDefault="000D6DF0" w:rsidP="000D6DF0">
            <w:pPr>
              <w:pStyle w:val="Vahedeta"/>
              <w:ind w:left="623"/>
              <w:jc w:val="both"/>
              <w:rPr>
                <w:rFonts w:ascii="Times New Roman" w:hAnsi="Times New Roman" w:cs="Times New Roman"/>
                <w:color w:val="202020"/>
                <w:sz w:val="24"/>
                <w:szCs w:val="24"/>
                <w:shd w:val="clear" w:color="auto" w:fill="FFFFFF"/>
              </w:rPr>
            </w:pPr>
            <w:r w:rsidRPr="00110EE7">
              <w:rPr>
                <w:rFonts w:ascii="Times New Roman" w:hAnsi="Times New Roman" w:cs="Times New Roman"/>
                <w:color w:val="202020"/>
                <w:sz w:val="24"/>
                <w:szCs w:val="24"/>
                <w:shd w:val="clear" w:color="auto" w:fill="FFFFFF"/>
              </w:rPr>
              <w:t xml:space="preserve"> </w:t>
            </w:r>
          </w:p>
          <w:tbl>
            <w:tblPr>
              <w:tblStyle w:val="Kontuurtabel"/>
              <w:tblW w:w="0" w:type="auto"/>
              <w:tblInd w:w="421" w:type="dxa"/>
              <w:tblLook w:val="04A0" w:firstRow="1" w:lastRow="0" w:firstColumn="1" w:lastColumn="0" w:noHBand="0" w:noVBand="1"/>
            </w:tblPr>
            <w:tblGrid>
              <w:gridCol w:w="6299"/>
            </w:tblGrid>
            <w:tr w:rsidR="000D6DF0" w:rsidRPr="00110EE7" w14:paraId="183FA555" w14:textId="77777777" w:rsidTr="00850C19">
              <w:tc>
                <w:tcPr>
                  <w:tcW w:w="8397" w:type="dxa"/>
                </w:tcPr>
                <w:p w14:paraId="0F1E4B69" w14:textId="77777777" w:rsidR="000D6DF0" w:rsidRPr="00110EE7" w:rsidRDefault="000D6DF0" w:rsidP="000D6DF0">
                  <w:pPr>
                    <w:pStyle w:val="Vahedeta"/>
                    <w:jc w:val="both"/>
                    <w:rPr>
                      <w:rFonts w:ascii="Times New Roman" w:hAnsi="Times New Roman" w:cs="Times New Roman"/>
                      <w:color w:val="202020"/>
                      <w:sz w:val="24"/>
                      <w:szCs w:val="24"/>
                      <w:shd w:val="clear" w:color="auto" w:fill="FFFFFF"/>
                    </w:rPr>
                  </w:pPr>
                  <w:r w:rsidRPr="00110EE7">
                    <w:rPr>
                      <w:rFonts w:ascii="Times New Roman" w:hAnsi="Times New Roman" w:cs="Times New Roman"/>
                      <w:color w:val="202020"/>
                      <w:sz w:val="24"/>
                      <w:szCs w:val="24"/>
                      <w:shd w:val="clear" w:color="auto" w:fill="FFFFFF"/>
                    </w:rPr>
                    <w:t>(2) </w:t>
                  </w:r>
                  <w:hyperlink r:id="rId8" w:anchor="para237b8" w:history="1">
                    <w:r w:rsidRPr="00110EE7">
                      <w:rPr>
                        <w:rStyle w:val="Hperlink"/>
                        <w:rFonts w:ascii="Times New Roman" w:hAnsi="Times New Roman" w:cs="Times New Roman"/>
                        <w:sz w:val="24"/>
                        <w:szCs w:val="24"/>
                        <w:shd w:val="clear" w:color="auto" w:fill="FFFFFF"/>
                      </w:rPr>
                      <w:t>Käesoleva seaduse §-des 237</w:t>
                    </w:r>
                    <w:r w:rsidRPr="00110EE7">
                      <w:rPr>
                        <w:rStyle w:val="Hperlink"/>
                        <w:rFonts w:ascii="Times New Roman" w:hAnsi="Times New Roman" w:cs="Times New Roman"/>
                        <w:sz w:val="24"/>
                        <w:szCs w:val="24"/>
                        <w:shd w:val="clear" w:color="auto" w:fill="FFFFFF"/>
                        <w:vertAlign w:val="superscript"/>
                      </w:rPr>
                      <w:t>8</w:t>
                    </w:r>
                    <w:r w:rsidRPr="00110EE7">
                      <w:rPr>
                        <w:rStyle w:val="Hperlink"/>
                        <w:rFonts w:ascii="Times New Roman" w:hAnsi="Times New Roman" w:cs="Times New Roman"/>
                        <w:sz w:val="24"/>
                        <w:szCs w:val="24"/>
                        <w:shd w:val="clear" w:color="auto" w:fill="FFFFFF"/>
                      </w:rPr>
                      <w:t>, 237</w:t>
                    </w:r>
                    <w:r w:rsidRPr="00110EE7">
                      <w:rPr>
                        <w:rStyle w:val="Hperlink"/>
                        <w:rFonts w:ascii="Times New Roman" w:hAnsi="Times New Roman" w:cs="Times New Roman"/>
                        <w:sz w:val="24"/>
                        <w:szCs w:val="24"/>
                        <w:shd w:val="clear" w:color="auto" w:fill="FFFFFF"/>
                        <w:vertAlign w:val="superscript"/>
                      </w:rPr>
                      <w:t>10</w:t>
                    </w:r>
                    <w:r w:rsidRPr="00110EE7">
                      <w:rPr>
                        <w:rStyle w:val="Hperlink"/>
                        <w:rFonts w:ascii="Times New Roman" w:hAnsi="Times New Roman" w:cs="Times New Roman"/>
                        <w:sz w:val="24"/>
                        <w:szCs w:val="24"/>
                        <w:shd w:val="clear" w:color="auto" w:fill="FFFFFF"/>
                      </w:rPr>
                      <w:t>, 237</w:t>
                    </w:r>
                    <w:r w:rsidRPr="00110EE7">
                      <w:rPr>
                        <w:rStyle w:val="Hperlink"/>
                        <w:rFonts w:ascii="Times New Roman" w:hAnsi="Times New Roman" w:cs="Times New Roman"/>
                        <w:sz w:val="24"/>
                        <w:szCs w:val="24"/>
                        <w:shd w:val="clear" w:color="auto" w:fill="FFFFFF"/>
                        <w:vertAlign w:val="superscript"/>
                      </w:rPr>
                      <w:t>27</w:t>
                    </w:r>
                    <w:r w:rsidRPr="00110EE7">
                      <w:rPr>
                        <w:rStyle w:val="Hperlink"/>
                        <w:rFonts w:ascii="Times New Roman" w:hAnsi="Times New Roman" w:cs="Times New Roman"/>
                        <w:sz w:val="24"/>
                        <w:szCs w:val="24"/>
                        <w:shd w:val="clear" w:color="auto" w:fill="FFFFFF"/>
                      </w:rPr>
                      <w:t> ja 237</w:t>
                    </w:r>
                    <w:r w:rsidRPr="00110EE7">
                      <w:rPr>
                        <w:rStyle w:val="Hperlink"/>
                        <w:rFonts w:ascii="Times New Roman" w:hAnsi="Times New Roman" w:cs="Times New Roman"/>
                        <w:sz w:val="24"/>
                        <w:szCs w:val="24"/>
                        <w:shd w:val="clear" w:color="auto" w:fill="FFFFFF"/>
                        <w:vertAlign w:val="superscript"/>
                      </w:rPr>
                      <w:t>86</w:t>
                    </w:r>
                  </w:hyperlink>
                  <w:r w:rsidRPr="00110EE7">
                    <w:rPr>
                      <w:rFonts w:ascii="Times New Roman" w:hAnsi="Times New Roman" w:cs="Times New Roman"/>
                      <w:color w:val="202020"/>
                      <w:sz w:val="24"/>
                      <w:szCs w:val="24"/>
                      <w:shd w:val="clear" w:color="auto" w:fill="FFFFFF"/>
                    </w:rPr>
                    <w:t> nimetatud juriidilise isiku käive on aastane netokäive eelmisel majandusaastal, sealhulgas brutotulu, mis koosneb saadaolevatest intressidest ja samalaadsetest tuludest, tuludest aktsiatelt ja muudelt muutuv- või püsituluga väärtpaberitelt ning saadaolevatest komisjoni- või teenustasudest kooskõlas Euroopa Parlamendi ja nõukogu määruse (EL) nr 575/2013 artikliga 316. Kui juriidiline isik on emaettevõtja tütarettevõtja, on käesoleva lõike esimeses lauses nimetatud kogutuluks kogutulu eelmise majandusaasta konsolideeritud aastaaruande järgi.</w:t>
                  </w:r>
                </w:p>
              </w:tc>
            </w:tr>
            <w:tr w:rsidR="000D6DF0" w:rsidRPr="00110EE7" w14:paraId="5D45C045" w14:textId="77777777" w:rsidTr="00850C19">
              <w:tc>
                <w:tcPr>
                  <w:tcW w:w="8397" w:type="dxa"/>
                </w:tcPr>
                <w:p w14:paraId="5CB66B78" w14:textId="77777777" w:rsidR="000D6DF0" w:rsidRPr="00110EE7" w:rsidRDefault="000D6DF0" w:rsidP="000D6DF0">
                  <w:pPr>
                    <w:pStyle w:val="Vahedeta"/>
                    <w:jc w:val="both"/>
                    <w:rPr>
                      <w:rFonts w:ascii="Times New Roman" w:hAnsi="Times New Roman" w:cs="Times New Roman"/>
                      <w:color w:val="202020"/>
                      <w:sz w:val="24"/>
                      <w:szCs w:val="24"/>
                      <w:shd w:val="clear" w:color="auto" w:fill="FFFFFF"/>
                    </w:rPr>
                  </w:pPr>
                  <w:r w:rsidRPr="00110EE7">
                    <w:rPr>
                      <w:rFonts w:ascii="Times New Roman" w:hAnsi="Times New Roman" w:cs="Times New Roman"/>
                      <w:color w:val="202020"/>
                      <w:sz w:val="24"/>
                      <w:szCs w:val="24"/>
                      <w:shd w:val="clear" w:color="auto" w:fill="FFFFFF"/>
                    </w:rPr>
                    <w:t xml:space="preserve"> (3) </w:t>
                  </w:r>
                  <w:hyperlink r:id="rId9" w:anchor="para237b80" w:history="1">
                    <w:r w:rsidRPr="00110EE7">
                      <w:rPr>
                        <w:rStyle w:val="Hperlink"/>
                        <w:rFonts w:ascii="Times New Roman" w:hAnsi="Times New Roman" w:cs="Times New Roman"/>
                        <w:sz w:val="24"/>
                        <w:szCs w:val="24"/>
                        <w:shd w:val="clear" w:color="auto" w:fill="FFFFFF"/>
                      </w:rPr>
                      <w:t>Käesoleva seaduse §-s 237</w:t>
                    </w:r>
                    <w:r w:rsidRPr="00110EE7">
                      <w:rPr>
                        <w:rStyle w:val="Hperlink"/>
                        <w:rFonts w:ascii="Times New Roman" w:hAnsi="Times New Roman" w:cs="Times New Roman"/>
                        <w:sz w:val="24"/>
                        <w:szCs w:val="24"/>
                        <w:shd w:val="clear" w:color="auto" w:fill="FFFFFF"/>
                        <w:vertAlign w:val="superscript"/>
                      </w:rPr>
                      <w:t>80</w:t>
                    </w:r>
                  </w:hyperlink>
                  <w:r w:rsidRPr="00110EE7">
                    <w:rPr>
                      <w:rFonts w:ascii="Times New Roman" w:hAnsi="Times New Roman" w:cs="Times New Roman"/>
                      <w:color w:val="202020"/>
                      <w:sz w:val="24"/>
                      <w:szCs w:val="24"/>
                      <w:shd w:val="clear" w:color="auto" w:fill="FFFFFF"/>
                    </w:rPr>
                    <w:t> nimetatud juriidilise isiku käive on aastane netokäive vastavalt viimasele kättesaadavale juhtimisorgani kinnitatud raamatupidamise aruandele. Kui juriidiline isik on emaettevõtja või sellise emaettevõtja tütarettevõtja, kes peab koostama konsolideeritud finantsaruandeid, siis on käesoleva lõike esimeses lauses nimetatud käive aastane netokäive või vastav tululiik viimase kättesaadava konsolideeritud raamatupidamise aruande järgi, mille on heaks kiitnud kõrgeima taseme emaettevõtja juhtimisorgan.</w:t>
                  </w:r>
                </w:p>
              </w:tc>
            </w:tr>
          </w:tbl>
          <w:p w14:paraId="57EE0390" w14:textId="77777777" w:rsidR="000D6DF0" w:rsidRPr="00110EE7" w:rsidRDefault="000D6DF0" w:rsidP="000D6DF0">
            <w:pPr>
              <w:pStyle w:val="Vahedeta"/>
              <w:jc w:val="both"/>
              <w:rPr>
                <w:rFonts w:ascii="Times New Roman" w:hAnsi="Times New Roman" w:cs="Times New Roman"/>
                <w:sz w:val="24"/>
                <w:szCs w:val="24"/>
              </w:rPr>
            </w:pPr>
          </w:p>
          <w:p w14:paraId="610B85C0" w14:textId="77777777" w:rsidR="000D6DF0" w:rsidRPr="00110EE7" w:rsidRDefault="000D6DF0" w:rsidP="000D6DF0">
            <w:pPr>
              <w:pStyle w:val="Vahedeta"/>
              <w:jc w:val="both"/>
              <w:rPr>
                <w:rFonts w:ascii="Times New Roman" w:hAnsi="Times New Roman" w:cs="Times New Roman"/>
                <w:sz w:val="24"/>
                <w:szCs w:val="24"/>
              </w:rPr>
            </w:pPr>
          </w:p>
          <w:p w14:paraId="7903B5FF" w14:textId="1216F9CF" w:rsidR="000D6DF0" w:rsidRPr="00110EE7" w:rsidRDefault="000D6DF0" w:rsidP="000D6DF0">
            <w:pPr>
              <w:pStyle w:val="Vahedeta"/>
              <w:jc w:val="both"/>
              <w:rPr>
                <w:rFonts w:ascii="Times New Roman" w:hAnsi="Times New Roman" w:cs="Times New Roman"/>
                <w:b/>
                <w:bCs/>
                <w:sz w:val="24"/>
                <w:szCs w:val="24"/>
              </w:rPr>
            </w:pPr>
            <w:r w:rsidRPr="00110EE7">
              <w:rPr>
                <w:rFonts w:ascii="Times New Roman" w:hAnsi="Times New Roman" w:cs="Times New Roman"/>
                <w:sz w:val="24"/>
                <w:szCs w:val="24"/>
              </w:rPr>
              <w:t>Palume sätestada rahatrahvi arvestamise metoodika (turuväärtuse leidmise alused) eraldi paragrahvis, et tegemist oleks väärteokoosseisude ülese üldise juhisega</w:t>
            </w:r>
          </w:p>
        </w:tc>
        <w:tc>
          <w:tcPr>
            <w:tcW w:w="2268" w:type="dxa"/>
          </w:tcPr>
          <w:p w14:paraId="1E69EFAD" w14:textId="49C57B36" w:rsidR="000D6DF0" w:rsidRPr="002539CF" w:rsidRDefault="000D6DF0" w:rsidP="000D6DF0">
            <w:pPr>
              <w:jc w:val="both"/>
              <w:rPr>
                <w:rFonts w:ascii="Times New Roman" w:hAnsi="Times New Roman" w:cs="Times New Roman"/>
                <w:sz w:val="24"/>
                <w:szCs w:val="24"/>
              </w:rPr>
            </w:pPr>
            <w:r w:rsidRPr="002539CF">
              <w:rPr>
                <w:rFonts w:ascii="Times New Roman" w:hAnsi="Times New Roman" w:cs="Times New Roman"/>
                <w:sz w:val="24"/>
                <w:szCs w:val="24"/>
              </w:rPr>
              <w:lastRenderedPageBreak/>
              <w:t>Arvestatud</w:t>
            </w:r>
          </w:p>
        </w:tc>
        <w:tc>
          <w:tcPr>
            <w:tcW w:w="4218" w:type="dxa"/>
          </w:tcPr>
          <w:p w14:paraId="64AC3BA3" w14:textId="67FEBE50" w:rsidR="000D6DF0" w:rsidRPr="002539CF" w:rsidRDefault="000D6DF0" w:rsidP="000D6DF0">
            <w:pPr>
              <w:jc w:val="both"/>
              <w:rPr>
                <w:rFonts w:ascii="Times New Roman" w:hAnsi="Times New Roman" w:cs="Times New Roman"/>
                <w:sz w:val="24"/>
                <w:szCs w:val="24"/>
              </w:rPr>
            </w:pPr>
            <w:r>
              <w:rPr>
                <w:rFonts w:ascii="Times New Roman" w:hAnsi="Times New Roman" w:cs="Times New Roman"/>
                <w:sz w:val="24"/>
                <w:szCs w:val="24"/>
              </w:rPr>
              <w:t xml:space="preserve">Turuväärtuse määramise alused on sätestatud eraldi paragrahvis. </w:t>
            </w:r>
            <w:r w:rsidRPr="002539CF">
              <w:rPr>
                <w:rFonts w:ascii="Times New Roman" w:hAnsi="Times New Roman" w:cs="Times New Roman"/>
                <w:sz w:val="24"/>
                <w:szCs w:val="24"/>
              </w:rPr>
              <w:t>Eelnõud on</w:t>
            </w:r>
            <w:r w:rsidRPr="002539CF">
              <w:rPr>
                <w:rFonts w:ascii="Times New Roman" w:hAnsi="Times New Roman" w:cs="Times New Roman"/>
                <w:b/>
                <w:bCs/>
                <w:sz w:val="24"/>
                <w:szCs w:val="24"/>
              </w:rPr>
              <w:t xml:space="preserve"> </w:t>
            </w:r>
            <w:r w:rsidRPr="002539CF">
              <w:rPr>
                <w:rFonts w:ascii="Times New Roman" w:hAnsi="Times New Roman" w:cs="Times New Roman"/>
                <w:sz w:val="24"/>
                <w:szCs w:val="24"/>
              </w:rPr>
              <w:t>täiendatud §-ga 248</w:t>
            </w:r>
            <w:r w:rsidRPr="002539CF">
              <w:rPr>
                <w:rFonts w:ascii="Times New Roman" w:hAnsi="Times New Roman" w:cs="Times New Roman"/>
                <w:sz w:val="24"/>
                <w:szCs w:val="24"/>
                <w:vertAlign w:val="superscript"/>
              </w:rPr>
              <w:t xml:space="preserve">1 </w:t>
            </w:r>
            <w:r w:rsidRPr="002539CF">
              <w:rPr>
                <w:rFonts w:ascii="Times New Roman" w:hAnsi="Times New Roman" w:cs="Times New Roman"/>
                <w:sz w:val="24"/>
                <w:szCs w:val="24"/>
              </w:rPr>
              <w:t>järgmises sõnastuses:</w:t>
            </w:r>
          </w:p>
          <w:p w14:paraId="3E78C424" w14:textId="77777777" w:rsidR="000D6DF0" w:rsidRPr="002539CF" w:rsidRDefault="000D6DF0" w:rsidP="000D6DF0">
            <w:pPr>
              <w:jc w:val="both"/>
              <w:rPr>
                <w:rFonts w:ascii="Times New Roman" w:hAnsi="Times New Roman" w:cs="Times New Roman"/>
                <w:b/>
                <w:bCs/>
                <w:sz w:val="24"/>
                <w:szCs w:val="24"/>
              </w:rPr>
            </w:pPr>
          </w:p>
          <w:p w14:paraId="3A097072" w14:textId="77777777" w:rsidR="000D6DF0" w:rsidRPr="002539CF" w:rsidRDefault="000D6DF0" w:rsidP="000D6DF0">
            <w:pPr>
              <w:jc w:val="both"/>
              <w:rPr>
                <w:rFonts w:ascii="Times New Roman" w:hAnsi="Times New Roman" w:cs="Times New Roman"/>
                <w:sz w:val="24"/>
                <w:szCs w:val="24"/>
              </w:rPr>
            </w:pPr>
            <w:r w:rsidRPr="002539CF">
              <w:rPr>
                <w:rFonts w:ascii="Times New Roman" w:hAnsi="Times New Roman" w:cs="Times New Roman"/>
                <w:b/>
                <w:bCs/>
                <w:sz w:val="24"/>
                <w:szCs w:val="24"/>
              </w:rPr>
              <w:t>„§ 248</w:t>
            </w:r>
            <w:r w:rsidRPr="002539CF">
              <w:rPr>
                <w:rFonts w:ascii="Times New Roman" w:hAnsi="Times New Roman" w:cs="Times New Roman"/>
                <w:b/>
                <w:bCs/>
                <w:sz w:val="24"/>
                <w:szCs w:val="24"/>
                <w:vertAlign w:val="superscript"/>
              </w:rPr>
              <w:t>1</w:t>
            </w:r>
            <w:r w:rsidRPr="002539CF">
              <w:rPr>
                <w:rFonts w:ascii="Times New Roman" w:hAnsi="Times New Roman" w:cs="Times New Roman"/>
                <w:b/>
                <w:bCs/>
                <w:sz w:val="24"/>
                <w:szCs w:val="24"/>
              </w:rPr>
              <w:t>. Fluoritud kasvuhoonegaaside ja osoonikihti kahandavate ainete või neid gaase sisaldavate või neil põhinevate toodete, seadmete ja süsteemide turuväärtus</w:t>
            </w:r>
          </w:p>
          <w:p w14:paraId="172B9750" w14:textId="77777777" w:rsidR="000D6DF0" w:rsidRPr="002539CF" w:rsidRDefault="000D6DF0" w:rsidP="000D6DF0">
            <w:pPr>
              <w:jc w:val="both"/>
              <w:rPr>
                <w:rFonts w:ascii="Times New Roman" w:hAnsi="Times New Roman" w:cs="Times New Roman"/>
                <w:sz w:val="24"/>
                <w:szCs w:val="24"/>
              </w:rPr>
            </w:pPr>
          </w:p>
          <w:p w14:paraId="7E589FFD" w14:textId="77777777" w:rsidR="000D6DF0" w:rsidRPr="002539CF" w:rsidRDefault="000D6DF0" w:rsidP="000D6DF0">
            <w:pPr>
              <w:jc w:val="both"/>
              <w:rPr>
                <w:rFonts w:ascii="Times New Roman" w:hAnsi="Times New Roman" w:cs="Times New Roman"/>
                <w:sz w:val="24"/>
                <w:szCs w:val="24"/>
              </w:rPr>
            </w:pPr>
            <w:r w:rsidRPr="002539CF">
              <w:rPr>
                <w:rFonts w:ascii="Times New Roman" w:hAnsi="Times New Roman" w:cs="Times New Roman"/>
                <w:sz w:val="24"/>
                <w:szCs w:val="24"/>
              </w:rPr>
              <w:t xml:space="preserve">(1) Käesolevas peatükis nimetatud fluoritud kasvuhoonegaaside ja osoonikihti kahandavate ainete või neid gaase sisaldavate või neil põhinevate toodete, seadmete ja süsteemide turuväärtuse hindamisel lähtutakse tsiviilseadustiku üldosa seaduse §-s 65 </w:t>
            </w:r>
            <w:r w:rsidRPr="002539CF">
              <w:rPr>
                <w:rFonts w:ascii="Times New Roman" w:hAnsi="Times New Roman" w:cs="Times New Roman"/>
                <w:sz w:val="24"/>
                <w:szCs w:val="24"/>
              </w:rPr>
              <w:lastRenderedPageBreak/>
              <w:t>sätestatust, võttes aluseks karistuse määramise ajahetke.</w:t>
            </w:r>
          </w:p>
          <w:p w14:paraId="28FEBB80" w14:textId="77777777" w:rsidR="000D6DF0" w:rsidRPr="002539CF" w:rsidRDefault="000D6DF0" w:rsidP="000D6DF0">
            <w:pPr>
              <w:jc w:val="both"/>
              <w:rPr>
                <w:rFonts w:ascii="Times New Roman" w:hAnsi="Times New Roman" w:cs="Times New Roman"/>
                <w:sz w:val="24"/>
                <w:szCs w:val="24"/>
              </w:rPr>
            </w:pPr>
          </w:p>
          <w:p w14:paraId="4F6BEA73" w14:textId="77777777" w:rsidR="000D6DF0" w:rsidRPr="002539CF" w:rsidRDefault="000D6DF0" w:rsidP="000D6DF0">
            <w:pPr>
              <w:jc w:val="both"/>
              <w:rPr>
                <w:rFonts w:ascii="Times New Roman" w:hAnsi="Times New Roman" w:cs="Times New Roman"/>
                <w:sz w:val="24"/>
                <w:szCs w:val="24"/>
              </w:rPr>
            </w:pPr>
            <w:r w:rsidRPr="002539CF">
              <w:rPr>
                <w:rFonts w:ascii="Times New Roman" w:hAnsi="Times New Roman" w:cs="Times New Roman"/>
                <w:sz w:val="24"/>
                <w:szCs w:val="24"/>
              </w:rPr>
              <w:t>(2) Kui lõikes 1 nimetatud turuväärtust ei ole võimalik kindlaks määrata, on turuväärtus soetusmaksumus või omahind.“;</w:t>
            </w:r>
          </w:p>
          <w:p w14:paraId="611C7306" w14:textId="7A0E2C85" w:rsidR="000D6DF0" w:rsidRPr="00110EE7" w:rsidRDefault="000D6DF0" w:rsidP="000D6DF0">
            <w:pPr>
              <w:jc w:val="both"/>
              <w:rPr>
                <w:rFonts w:ascii="Times New Roman" w:hAnsi="Times New Roman" w:cs="Times New Roman"/>
                <w:b/>
                <w:bCs/>
                <w:sz w:val="24"/>
                <w:szCs w:val="24"/>
              </w:rPr>
            </w:pPr>
          </w:p>
        </w:tc>
      </w:tr>
      <w:tr w:rsidR="000D6DF0" w:rsidRPr="00110EE7" w14:paraId="50A0E982" w14:textId="77777777" w:rsidTr="00AA72ED">
        <w:tc>
          <w:tcPr>
            <w:tcW w:w="562" w:type="dxa"/>
          </w:tcPr>
          <w:p w14:paraId="67DBCBD6" w14:textId="480CB837"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lastRenderedPageBreak/>
              <w:t>9</w:t>
            </w:r>
          </w:p>
        </w:tc>
        <w:tc>
          <w:tcPr>
            <w:tcW w:w="6946" w:type="dxa"/>
          </w:tcPr>
          <w:p w14:paraId="47C26EBB"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b/>
                <w:bCs/>
                <w:sz w:val="24"/>
                <w:szCs w:val="24"/>
              </w:rPr>
              <w:t>Eelnõu § 1 punktiga 31</w:t>
            </w:r>
            <w:r w:rsidRPr="00110EE7">
              <w:rPr>
                <w:rFonts w:ascii="Times New Roman" w:hAnsi="Times New Roman" w:cs="Times New Roman"/>
                <w:sz w:val="24"/>
                <w:szCs w:val="24"/>
              </w:rPr>
              <w:t xml:space="preserve"> muudetakse ja sõnastatakse ümber kehtiva AÕKS § 238 tekst. Plaanitava muudatuse kohaselt lisanduks sättesse lõige 3, mille kohaselt „käesolevas paragrahvis mõistetakse kasutamist määruse (EL) 2024/573 artikli 2 punktis 36 esitatud tähenduses“. Arvestades eelnõuga muudetava seaduse ja väärteokoosseisude üldist loogikat, tuleks mõiste kasvuhoonegaaside kasutamine defineerida väljaspool karistusseadustiku eriosa seaduse vastutuse peatükki. Võimalik, et kõige kohasem koht selleks oleks AÕKS 1. peatüki 1. jagu pealkirjaga „Üldsätted“. Sealjuures on näiteks sõnastatud mõisted välisõhu keemiline mõjutamine, välisõhu füüsikaline mõjutamine ja välisõhu saastamine (AÕKS §-d 5–7). </w:t>
            </w:r>
          </w:p>
          <w:p w14:paraId="091ECF7B" w14:textId="77777777" w:rsidR="000D6DF0" w:rsidRPr="00110EE7" w:rsidRDefault="000D6DF0" w:rsidP="000D6DF0">
            <w:pPr>
              <w:pStyle w:val="Vahedeta"/>
              <w:ind w:left="360"/>
              <w:jc w:val="both"/>
              <w:rPr>
                <w:rFonts w:ascii="Times New Roman" w:hAnsi="Times New Roman" w:cs="Times New Roman"/>
                <w:sz w:val="24"/>
                <w:szCs w:val="24"/>
              </w:rPr>
            </w:pPr>
          </w:p>
          <w:p w14:paraId="7E0A6976"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Palume defineerida AÕKS § 238 lg-s 3 sätestatud mõiste kasvuhoonegaaside kasutamine AÕKS välisõhu kaitse üldsätete juures.</w:t>
            </w:r>
          </w:p>
          <w:p w14:paraId="707CD484" w14:textId="77777777" w:rsidR="000D6DF0" w:rsidRPr="00110EE7" w:rsidRDefault="000D6DF0" w:rsidP="000D6DF0">
            <w:pPr>
              <w:pStyle w:val="Vahedeta"/>
              <w:ind w:left="360"/>
              <w:jc w:val="both"/>
              <w:rPr>
                <w:rFonts w:ascii="Times New Roman" w:hAnsi="Times New Roman" w:cs="Times New Roman"/>
                <w:sz w:val="24"/>
                <w:szCs w:val="24"/>
              </w:rPr>
            </w:pPr>
          </w:p>
          <w:p w14:paraId="7FF1C782"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Samuti palume kontrollida üle lõikes 3 tehtud viide määruse 2024/573 artikkel 2 punktile 36. Eelduslikult peaks olema viidatud artikkel 3 punktile 36.</w:t>
            </w:r>
          </w:p>
          <w:p w14:paraId="7627B6CB" w14:textId="77777777" w:rsidR="000D6DF0" w:rsidRPr="00110EE7" w:rsidRDefault="000D6DF0" w:rsidP="000D6DF0">
            <w:pPr>
              <w:pStyle w:val="Vahedeta"/>
              <w:jc w:val="both"/>
              <w:rPr>
                <w:rFonts w:ascii="Times New Roman" w:hAnsi="Times New Roman" w:cs="Times New Roman"/>
                <w:b/>
                <w:bCs/>
                <w:sz w:val="24"/>
                <w:szCs w:val="24"/>
              </w:rPr>
            </w:pPr>
          </w:p>
        </w:tc>
        <w:tc>
          <w:tcPr>
            <w:tcW w:w="2268" w:type="dxa"/>
          </w:tcPr>
          <w:p w14:paraId="6C9C72B8" w14:textId="5D147289" w:rsidR="000D6DF0" w:rsidRPr="002539CF" w:rsidRDefault="000D6DF0" w:rsidP="000D6DF0">
            <w:pPr>
              <w:jc w:val="both"/>
              <w:rPr>
                <w:rFonts w:ascii="Times New Roman" w:hAnsi="Times New Roman" w:cs="Times New Roman"/>
                <w:sz w:val="24"/>
                <w:szCs w:val="24"/>
              </w:rPr>
            </w:pPr>
            <w:r w:rsidRPr="002539CF">
              <w:rPr>
                <w:rFonts w:ascii="Times New Roman" w:hAnsi="Times New Roman" w:cs="Times New Roman"/>
                <w:sz w:val="24"/>
                <w:szCs w:val="24"/>
              </w:rPr>
              <w:t>Arvestatud</w:t>
            </w:r>
          </w:p>
        </w:tc>
        <w:tc>
          <w:tcPr>
            <w:tcW w:w="4218" w:type="dxa"/>
          </w:tcPr>
          <w:p w14:paraId="48E9E91D" w14:textId="61E926F5" w:rsidR="000D6DF0" w:rsidRPr="002539CF" w:rsidRDefault="000D6DF0" w:rsidP="000D6DF0">
            <w:pPr>
              <w:jc w:val="both"/>
              <w:rPr>
                <w:rFonts w:ascii="Times New Roman" w:hAnsi="Times New Roman" w:cs="Times New Roman"/>
                <w:sz w:val="24"/>
                <w:szCs w:val="24"/>
              </w:rPr>
            </w:pPr>
            <w:r w:rsidRPr="002539CF">
              <w:rPr>
                <w:rFonts w:ascii="Times New Roman" w:hAnsi="Times New Roman" w:cs="Times New Roman"/>
                <w:sz w:val="24"/>
                <w:szCs w:val="24"/>
              </w:rPr>
              <w:t xml:space="preserve">Fluoritud kasvuhoonegaaside kasutamine defineeritakse eelnõu punktis 4. Kuna fluoritud kasvuhoonegaaside kasutamine sobib sisult paremini kliimamuutuste leevendamise ja osoonikihi kaitsmise üldsätete peatükki, siis eelnõusse on lisatud </w:t>
            </w:r>
            <w:r>
              <w:rPr>
                <w:rFonts w:ascii="Times New Roman" w:hAnsi="Times New Roman" w:cs="Times New Roman"/>
                <w:sz w:val="24"/>
                <w:szCs w:val="24"/>
              </w:rPr>
              <w:t>§</w:t>
            </w:r>
            <w:r w:rsidRPr="002539CF">
              <w:rPr>
                <w:rFonts w:ascii="Times New Roman" w:hAnsi="Times New Roman" w:cs="Times New Roman"/>
                <w:sz w:val="24"/>
                <w:szCs w:val="24"/>
              </w:rPr>
              <w:t xml:space="preserve"> 143</w:t>
            </w:r>
            <w:r w:rsidRPr="002539CF">
              <w:rPr>
                <w:rFonts w:ascii="Times New Roman" w:hAnsi="Times New Roman" w:cs="Times New Roman"/>
                <w:sz w:val="24"/>
                <w:szCs w:val="24"/>
                <w:vertAlign w:val="superscript"/>
              </w:rPr>
              <w:t>1</w:t>
            </w:r>
            <w:r w:rsidRPr="002539CF">
              <w:rPr>
                <w:rFonts w:ascii="Times New Roman" w:hAnsi="Times New Roman" w:cs="Times New Roman"/>
                <w:sz w:val="24"/>
                <w:szCs w:val="24"/>
              </w:rPr>
              <w:t xml:space="preserve"> vastava definitsiooniga.</w:t>
            </w:r>
          </w:p>
        </w:tc>
      </w:tr>
      <w:tr w:rsidR="000D6DF0" w:rsidRPr="00110EE7" w14:paraId="0F9274B2" w14:textId="77777777" w:rsidTr="00AA72ED">
        <w:tc>
          <w:tcPr>
            <w:tcW w:w="562" w:type="dxa"/>
          </w:tcPr>
          <w:p w14:paraId="53EBBAD6" w14:textId="1751388E"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t>10</w:t>
            </w:r>
          </w:p>
        </w:tc>
        <w:tc>
          <w:tcPr>
            <w:tcW w:w="6946" w:type="dxa"/>
          </w:tcPr>
          <w:p w14:paraId="7C3E53D0"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b/>
                <w:bCs/>
                <w:sz w:val="24"/>
                <w:szCs w:val="24"/>
              </w:rPr>
              <w:t>Eelnõu § 1 p-ga 38</w:t>
            </w:r>
            <w:r w:rsidRPr="00110EE7">
              <w:rPr>
                <w:rFonts w:ascii="Times New Roman" w:hAnsi="Times New Roman" w:cs="Times New Roman"/>
                <w:sz w:val="24"/>
                <w:szCs w:val="24"/>
              </w:rPr>
              <w:t xml:space="preserve"> täiendatakse seadust §-ga 238</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mis sätestab uue väärteokoosseisu pealkirjaga „Fluoritud kasvuhoonegaase sisaldavate seadmete ja toodete kohta andmete esitamine“. Väärteokirjelduse kohaselt on karistatav Euroopa Parlamendi ja nõukogu määruse (EL) 2024/573 artiklis 13 nimetatud teavitamise või andmete säilitamise kohustuse ning artiklites 11 ja 19 sätestatud vastavusdeklaratsiooni säilitamise nõude rikkumine. </w:t>
            </w:r>
          </w:p>
          <w:p w14:paraId="7E225815" w14:textId="77777777" w:rsidR="000D6DF0" w:rsidRPr="00110EE7" w:rsidRDefault="000D6DF0" w:rsidP="000D6DF0">
            <w:pPr>
              <w:pStyle w:val="Vahedeta"/>
              <w:ind w:left="720"/>
              <w:jc w:val="both"/>
              <w:rPr>
                <w:rFonts w:ascii="Times New Roman" w:hAnsi="Times New Roman" w:cs="Times New Roman"/>
                <w:sz w:val="24"/>
                <w:szCs w:val="24"/>
              </w:rPr>
            </w:pPr>
          </w:p>
          <w:p w14:paraId="069A11D9"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lastRenderedPageBreak/>
              <w:t>Väärteokoosseisu sätestava paragrahvi pealkiri peab lühidalt iseloomustama paragrahvis ettenähtud väärteokirjelduse sisu. Hetkel väljapakutud pealkiri ei kirjelda ühtki rikkumist. Minimaalselt tuleks pealkirja muuta selliselt, et väärteona on käsitletav „andmete esitamise kohustuse rikkumine“. Samas, tutvudes nende määruse 2024/573 artiklitega, millele § 238</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viitab, jääb ebaselgeks, kas pealkiri üldse vastab sättega ettenähtud väärteokirjeldusele. Ka seletuskirja kohaselt nähakse sättega ette rahatrahv „andmete säilitamata jätmise või pädeva asutuse teavitamiskohustuse rikkumise eest“. Andmete esitamata jätmine ja säilitamata jätmine ei ole samatähenduslikud mõisted. </w:t>
            </w:r>
          </w:p>
          <w:p w14:paraId="5FAB5AD1" w14:textId="77777777" w:rsidR="000D6DF0" w:rsidRPr="00110EE7" w:rsidRDefault="000D6DF0" w:rsidP="000D6DF0">
            <w:pPr>
              <w:pStyle w:val="Vahedeta"/>
              <w:ind w:left="720"/>
              <w:jc w:val="both"/>
              <w:rPr>
                <w:rFonts w:ascii="Times New Roman" w:hAnsi="Times New Roman" w:cs="Times New Roman"/>
                <w:sz w:val="24"/>
                <w:szCs w:val="24"/>
              </w:rPr>
            </w:pPr>
          </w:p>
          <w:p w14:paraId="4BC7EB7A"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Segaseks jääb seegi, milliste tegude eest on võimalik AÕKS § 238</w:t>
            </w:r>
            <w:r w:rsidRPr="00110EE7">
              <w:rPr>
                <w:rFonts w:ascii="Times New Roman" w:hAnsi="Times New Roman" w:cs="Times New Roman"/>
                <w:sz w:val="24"/>
                <w:szCs w:val="24"/>
                <w:vertAlign w:val="superscript"/>
              </w:rPr>
              <w:t xml:space="preserve">1 </w:t>
            </w:r>
            <w:r w:rsidRPr="00110EE7">
              <w:rPr>
                <w:rFonts w:ascii="Times New Roman" w:hAnsi="Times New Roman" w:cs="Times New Roman"/>
                <w:sz w:val="24"/>
                <w:szCs w:val="24"/>
              </w:rPr>
              <w:t>alusel karistust määrata. Tegemist on viitelise koosseisuga, kuid osundused määruse 2024/573 artiklitele on liialt ebakonkreetsed. Igal juhul tuleb eelistada määrusele viitamist lõigete täpsusega. Tutvudes viidatud määruse artiklitega 11, 13 ja 19, sisustavad need F-gaase sisaldavate toodete turule laskmise ja müügi piirangud (artikkel 11), fluoritud kasvuhoonegaaside kasutamise järelevalve (artikkel 13) ja nõuded fluorosüsivesinikega eeltäidetud toodetele ja seadmetele (artikkel 19). Eeltoodud artiklite sisu ei lange kokku AÕKS § 238</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pealkirja ja sisuga. Kui märgitud artikli teatud lõigetest tuleneb kohustus aruandluseks (andmete esitamiseks ja/või säilitamiseks?), siis tuleb neile nõuetele viidata lõike täpsusega. Samuti jääb ebaselgeks AÕKS § 238</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suhe AÕKS §-s 243 sätestatud väärteokoosseisuga – palume seda seletuskirjas täpsustada. Hetkel ei vasta antud norm koosmõjus selle seletuskirjaga meie hinnangul põhiseaduse § 13 lg-st 2 tulenevale karistusnormi määratletuse ehk õigusselguse nõudele. Õigusselgus on eriti oluline selliste normide puhul, mille kohaldamise tagajärjeks võib olla isiku karistamine (RKEKo 28.02.2002, nr 3-1-1-117-01, p 12). Õigusselguse põhimõtte kohaselt peab isikul olema võimalik piisava selgusega ette näha, missuguse õigusliku tagajärje </w:t>
            </w:r>
            <w:r w:rsidRPr="00110EE7">
              <w:rPr>
                <w:rFonts w:ascii="Times New Roman" w:hAnsi="Times New Roman" w:cs="Times New Roman"/>
                <w:sz w:val="24"/>
                <w:szCs w:val="24"/>
              </w:rPr>
              <w:lastRenderedPageBreak/>
              <w:t>üks või teine tegu kaasa toob (RKPJKo 15. 12. 2005, 3-4-1-16-05 p 20, RKPJKo 3-4-1-14-06, 31.01.2007, p 23).</w:t>
            </w:r>
          </w:p>
          <w:p w14:paraId="4FA18235" w14:textId="77777777" w:rsidR="000D6DF0" w:rsidRPr="00110EE7" w:rsidRDefault="000D6DF0" w:rsidP="000D6DF0">
            <w:pPr>
              <w:pStyle w:val="Vahedeta"/>
              <w:jc w:val="both"/>
              <w:rPr>
                <w:rFonts w:ascii="Times New Roman" w:hAnsi="Times New Roman" w:cs="Times New Roman"/>
                <w:sz w:val="24"/>
                <w:szCs w:val="24"/>
              </w:rPr>
            </w:pPr>
          </w:p>
          <w:p w14:paraId="020D11C3" w14:textId="77777777"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Palume muuta AÕKS §-ga 238</w:t>
            </w:r>
            <w:r w:rsidRPr="00110EE7">
              <w:rPr>
                <w:rFonts w:ascii="Times New Roman" w:hAnsi="Times New Roman" w:cs="Times New Roman"/>
                <w:sz w:val="24"/>
                <w:szCs w:val="24"/>
                <w:vertAlign w:val="superscript"/>
              </w:rPr>
              <w:t>1</w:t>
            </w:r>
            <w:r w:rsidRPr="00110EE7">
              <w:rPr>
                <w:rFonts w:ascii="Times New Roman" w:hAnsi="Times New Roman" w:cs="Times New Roman"/>
                <w:sz w:val="24"/>
                <w:szCs w:val="24"/>
              </w:rPr>
              <w:t xml:space="preserve"> sätestatud väärteokoosseisu pealkirja ja väärteokirjeldust selliselt, et sellest nähtuks selgelt rikkumise olemus.</w:t>
            </w:r>
          </w:p>
          <w:p w14:paraId="156B8274" w14:textId="77777777" w:rsidR="000D6DF0" w:rsidRPr="00110EE7" w:rsidRDefault="000D6DF0" w:rsidP="000D6DF0">
            <w:pPr>
              <w:pStyle w:val="Vahedeta"/>
              <w:jc w:val="both"/>
              <w:rPr>
                <w:rFonts w:ascii="Times New Roman" w:hAnsi="Times New Roman" w:cs="Times New Roman"/>
                <w:b/>
                <w:bCs/>
                <w:sz w:val="24"/>
                <w:szCs w:val="24"/>
              </w:rPr>
            </w:pPr>
          </w:p>
        </w:tc>
        <w:tc>
          <w:tcPr>
            <w:tcW w:w="2268" w:type="dxa"/>
          </w:tcPr>
          <w:p w14:paraId="58786665" w14:textId="3BE46AF3" w:rsidR="000D6DF0" w:rsidRPr="00010E3A" w:rsidRDefault="000D6DF0" w:rsidP="000D6DF0">
            <w:pPr>
              <w:jc w:val="both"/>
              <w:rPr>
                <w:rFonts w:ascii="Times New Roman" w:hAnsi="Times New Roman" w:cs="Times New Roman"/>
                <w:sz w:val="24"/>
                <w:szCs w:val="24"/>
              </w:rPr>
            </w:pPr>
            <w:r w:rsidRPr="00010E3A">
              <w:rPr>
                <w:rFonts w:ascii="Times New Roman" w:hAnsi="Times New Roman" w:cs="Times New Roman"/>
                <w:sz w:val="24"/>
                <w:szCs w:val="24"/>
              </w:rPr>
              <w:lastRenderedPageBreak/>
              <w:t>Arvestatud</w:t>
            </w:r>
          </w:p>
        </w:tc>
        <w:tc>
          <w:tcPr>
            <w:tcW w:w="4218" w:type="dxa"/>
          </w:tcPr>
          <w:p w14:paraId="487E8B85" w14:textId="6E542027" w:rsidR="000D6DF0" w:rsidRPr="00332F80" w:rsidRDefault="000D6DF0" w:rsidP="000D6DF0">
            <w:pPr>
              <w:pStyle w:val="Normaallaadveeb"/>
              <w:spacing w:before="0" w:beforeAutospacing="0" w:after="0" w:afterAutospacing="0"/>
              <w:rPr>
                <w:b/>
                <w:bCs/>
              </w:rPr>
            </w:pPr>
            <w:r w:rsidRPr="00010E3A">
              <w:t>Säte sõnastatud ümber:</w:t>
            </w:r>
            <w:r>
              <w:rPr>
                <w:b/>
                <w:bCs/>
              </w:rPr>
              <w:t xml:space="preserve"> </w:t>
            </w:r>
            <w:r w:rsidRPr="00332F80">
              <w:t>„</w:t>
            </w:r>
            <w:r w:rsidRPr="00332F80">
              <w:rPr>
                <w:b/>
                <w:bCs/>
              </w:rPr>
              <w:t>§ 238</w:t>
            </w:r>
            <w:r w:rsidRPr="00332F80">
              <w:rPr>
                <w:b/>
                <w:bCs/>
                <w:vertAlign w:val="superscript"/>
              </w:rPr>
              <w:t>1</w:t>
            </w:r>
            <w:r w:rsidRPr="00332F80">
              <w:rPr>
                <w:b/>
                <w:bCs/>
              </w:rPr>
              <w:t xml:space="preserve">. Fluoritud kasvuhoonegaase sisaldavate seadmete </w:t>
            </w:r>
            <w:r>
              <w:rPr>
                <w:b/>
                <w:bCs/>
              </w:rPr>
              <w:t xml:space="preserve">ja toodete kohta </w:t>
            </w:r>
            <w:r w:rsidRPr="00332F80">
              <w:rPr>
                <w:b/>
                <w:bCs/>
              </w:rPr>
              <w:t>andmete esitami</w:t>
            </w:r>
            <w:r>
              <w:rPr>
                <w:b/>
                <w:bCs/>
              </w:rPr>
              <w:t>se, säilitamise ja teavitamise kohustuse rikkumine</w:t>
            </w:r>
          </w:p>
          <w:p w14:paraId="63861309" w14:textId="39BB51DF" w:rsidR="000D6DF0" w:rsidRDefault="000D6DF0" w:rsidP="000D6DF0">
            <w:pPr>
              <w:pStyle w:val="Normaallaadveeb"/>
              <w:spacing w:before="0" w:beforeAutospacing="0" w:after="0" w:afterAutospacing="0"/>
              <w:jc w:val="both"/>
            </w:pPr>
            <w:r w:rsidRPr="00332F80">
              <w:t>(1) Euroopa Parlamendi ja nõukogu määruse (EL) 2024/573 artikli 13</w:t>
            </w:r>
            <w:r>
              <w:t xml:space="preserve"> paragrahvis 17</w:t>
            </w:r>
            <w:r w:rsidRPr="00332F80">
              <w:t xml:space="preserve"> nimetatud teavitamise</w:t>
            </w:r>
            <w:r>
              <w:t xml:space="preserve"> </w:t>
            </w:r>
            <w:r>
              <w:lastRenderedPageBreak/>
              <w:t>kohustuse</w:t>
            </w:r>
            <w:r w:rsidRPr="00332F80">
              <w:t xml:space="preserve"> või</w:t>
            </w:r>
            <w:r>
              <w:t xml:space="preserve"> paragrahvis 16 nimetatud</w:t>
            </w:r>
            <w:r w:rsidRPr="00332F80">
              <w:t xml:space="preserve"> andmete säilitamise kohustuse </w:t>
            </w:r>
            <w:r>
              <w:t>ning</w:t>
            </w:r>
            <w:r w:rsidRPr="00332F80">
              <w:t xml:space="preserve"> artikli 11</w:t>
            </w:r>
            <w:r>
              <w:t xml:space="preserve"> paragrahvis 4</w:t>
            </w:r>
            <w:r w:rsidRPr="00332F80">
              <w:t xml:space="preserve"> </w:t>
            </w:r>
            <w:r>
              <w:t xml:space="preserve">ja artikli 19 paragrahvis 2 </w:t>
            </w:r>
            <w:r w:rsidRPr="00332F80">
              <w:t>sätestatud vastavusdeklaratsiooni säilitamise</w:t>
            </w:r>
            <w:r>
              <w:t> </w:t>
            </w:r>
            <w:r w:rsidRPr="00332F80">
              <w:t>nõude</w:t>
            </w:r>
            <w:r>
              <w:t> </w:t>
            </w:r>
            <w:r w:rsidRPr="00332F80">
              <w:t>rikkumise</w:t>
            </w:r>
            <w:r>
              <w:t> </w:t>
            </w:r>
            <w:r w:rsidRPr="00332F80">
              <w:t>eest –</w:t>
            </w:r>
            <w:r>
              <w:t xml:space="preserve"> </w:t>
            </w:r>
          </w:p>
          <w:p w14:paraId="1DFD0AC2" w14:textId="205F7E6A" w:rsidR="000D6DF0" w:rsidRPr="00BD0149" w:rsidRDefault="000D6DF0" w:rsidP="000D6DF0">
            <w:pPr>
              <w:jc w:val="both"/>
              <w:rPr>
                <w:rFonts w:ascii="Times New Roman" w:hAnsi="Times New Roman" w:cs="Times New Roman"/>
                <w:sz w:val="24"/>
                <w:szCs w:val="24"/>
              </w:rPr>
            </w:pPr>
            <w:r w:rsidRPr="00BD0149">
              <w:rPr>
                <w:rFonts w:ascii="Times New Roman" w:hAnsi="Times New Roman" w:cs="Times New Roman"/>
                <w:sz w:val="24"/>
                <w:szCs w:val="24"/>
              </w:rPr>
              <w:t>Lisatud selgitused ka seletuskirja.</w:t>
            </w:r>
          </w:p>
        </w:tc>
      </w:tr>
      <w:tr w:rsidR="000D6DF0" w:rsidRPr="00110EE7" w14:paraId="7A1B6E4A" w14:textId="77777777" w:rsidTr="00AA72ED">
        <w:tc>
          <w:tcPr>
            <w:tcW w:w="562" w:type="dxa"/>
          </w:tcPr>
          <w:p w14:paraId="195A8495" w14:textId="35AF711F"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lastRenderedPageBreak/>
              <w:t>11</w:t>
            </w:r>
          </w:p>
        </w:tc>
        <w:tc>
          <w:tcPr>
            <w:tcW w:w="6946" w:type="dxa"/>
          </w:tcPr>
          <w:p w14:paraId="26938F53" w14:textId="77777777" w:rsidR="000D6DF0" w:rsidRPr="00FB7554" w:rsidRDefault="000D6DF0" w:rsidP="000D6DF0">
            <w:pPr>
              <w:pStyle w:val="Vahedeta"/>
              <w:jc w:val="both"/>
              <w:rPr>
                <w:rFonts w:ascii="Times New Roman" w:eastAsia="Calibri" w:hAnsi="Times New Roman" w:cs="Times New Roman"/>
                <w:sz w:val="24"/>
                <w:szCs w:val="24"/>
              </w:rPr>
            </w:pPr>
            <w:r w:rsidRPr="00FB7554">
              <w:rPr>
                <w:rFonts w:ascii="Times New Roman" w:eastAsia="Calibri" w:hAnsi="Times New Roman" w:cs="Times New Roman"/>
                <w:sz w:val="24"/>
                <w:szCs w:val="24"/>
              </w:rPr>
              <w:t xml:space="preserve">Eelnõu seletuskirja osas "Majanduslik mõju, mõju ettevõtlusele" on märgitud, et käitlemisloa andmekoosseisu muutmise tõttu on vaja muuta ka majandustegevuse registrit (MTR). </w:t>
            </w:r>
          </w:p>
          <w:p w14:paraId="05EE2D8F" w14:textId="77777777" w:rsidR="000D6DF0" w:rsidRPr="00A66A5F" w:rsidRDefault="000D6DF0" w:rsidP="000D6DF0">
            <w:pPr>
              <w:pStyle w:val="Vahedeta"/>
              <w:ind w:left="720"/>
              <w:jc w:val="both"/>
              <w:rPr>
                <w:rFonts w:ascii="Times New Roman" w:eastAsia="Calibri" w:hAnsi="Times New Roman" w:cs="Times New Roman"/>
                <w:sz w:val="24"/>
                <w:szCs w:val="24"/>
                <w:highlight w:val="yellow"/>
              </w:rPr>
            </w:pPr>
          </w:p>
          <w:p w14:paraId="1D568897" w14:textId="77777777" w:rsidR="000D6DF0" w:rsidRPr="00110EE7" w:rsidRDefault="000D6DF0" w:rsidP="000D6DF0">
            <w:pPr>
              <w:pStyle w:val="Vahedeta"/>
              <w:jc w:val="both"/>
              <w:rPr>
                <w:rFonts w:ascii="Times New Roman" w:eastAsia="Calibri" w:hAnsi="Times New Roman" w:cs="Times New Roman"/>
                <w:sz w:val="24"/>
                <w:szCs w:val="24"/>
              </w:rPr>
            </w:pPr>
            <w:r w:rsidRPr="00FB7554">
              <w:rPr>
                <w:rFonts w:ascii="Times New Roman" w:eastAsia="Calibri" w:hAnsi="Times New Roman" w:cs="Times New Roman"/>
                <w:sz w:val="24"/>
                <w:szCs w:val="24"/>
              </w:rPr>
              <w:t xml:space="preserve">Seletuskirja tuleb täiendada ja avada kas </w:t>
            </w:r>
            <w:bookmarkStart w:id="5" w:name="_Hlk202974990"/>
            <w:r w:rsidRPr="00FB7554">
              <w:rPr>
                <w:rFonts w:ascii="Times New Roman" w:eastAsia="Calibri" w:hAnsi="Times New Roman" w:cs="Times New Roman"/>
                <w:sz w:val="24"/>
                <w:szCs w:val="24"/>
              </w:rPr>
              <w:t xml:space="preserve">MTR-i muutmise kulu kannab Tarbijakaitse ja Tehnilise Järelevalve Amet MTR-i halduskuludest </w:t>
            </w:r>
            <w:bookmarkEnd w:id="5"/>
            <w:r w:rsidRPr="00FB7554">
              <w:rPr>
                <w:rFonts w:ascii="Times New Roman" w:eastAsia="Calibri" w:hAnsi="Times New Roman" w:cs="Times New Roman"/>
                <w:sz w:val="24"/>
                <w:szCs w:val="24"/>
              </w:rPr>
              <w:t>või kannab selle kulu Kliimaministeerium/Keskkonnaamet.</w:t>
            </w:r>
          </w:p>
          <w:p w14:paraId="1BC2C0D4" w14:textId="77777777" w:rsidR="000D6DF0" w:rsidRPr="00110EE7" w:rsidRDefault="000D6DF0" w:rsidP="000D6DF0">
            <w:pPr>
              <w:pStyle w:val="Vahedeta"/>
              <w:ind w:left="720"/>
              <w:jc w:val="both"/>
              <w:rPr>
                <w:rFonts w:ascii="Times New Roman" w:eastAsia="Calibri" w:hAnsi="Times New Roman" w:cs="Times New Roman"/>
                <w:sz w:val="24"/>
                <w:szCs w:val="24"/>
              </w:rPr>
            </w:pPr>
          </w:p>
          <w:p w14:paraId="409D0D96" w14:textId="77777777" w:rsidR="000D6DF0" w:rsidRPr="00110EE7" w:rsidRDefault="000D6DF0" w:rsidP="000D6DF0">
            <w:pPr>
              <w:pStyle w:val="Vahedeta"/>
              <w:jc w:val="both"/>
              <w:rPr>
                <w:rFonts w:ascii="Times New Roman" w:hAnsi="Times New Roman" w:cs="Times New Roman"/>
                <w:b/>
                <w:bCs/>
                <w:sz w:val="24"/>
                <w:szCs w:val="24"/>
              </w:rPr>
            </w:pPr>
          </w:p>
        </w:tc>
        <w:tc>
          <w:tcPr>
            <w:tcW w:w="2268" w:type="dxa"/>
          </w:tcPr>
          <w:p w14:paraId="641F1BF1" w14:textId="3F47C387" w:rsidR="000D6DF0" w:rsidRPr="00435737" w:rsidRDefault="000D6DF0" w:rsidP="000D6DF0">
            <w:pPr>
              <w:jc w:val="both"/>
              <w:rPr>
                <w:rFonts w:ascii="Times New Roman" w:hAnsi="Times New Roman" w:cs="Times New Roman"/>
                <w:sz w:val="24"/>
                <w:szCs w:val="24"/>
              </w:rPr>
            </w:pPr>
            <w:r w:rsidRPr="00435737">
              <w:rPr>
                <w:rFonts w:ascii="Times New Roman" w:hAnsi="Times New Roman" w:cs="Times New Roman"/>
                <w:sz w:val="24"/>
                <w:szCs w:val="24"/>
              </w:rPr>
              <w:t>Arvestatud</w:t>
            </w:r>
          </w:p>
        </w:tc>
        <w:tc>
          <w:tcPr>
            <w:tcW w:w="4218" w:type="dxa"/>
          </w:tcPr>
          <w:p w14:paraId="187FCE56" w14:textId="1CFFE0A5" w:rsidR="000D6DF0" w:rsidRPr="00FB7554" w:rsidRDefault="000D6DF0" w:rsidP="000D6DF0">
            <w:pPr>
              <w:jc w:val="both"/>
              <w:rPr>
                <w:rFonts w:ascii="Times New Roman" w:hAnsi="Times New Roman" w:cs="Times New Roman"/>
                <w:sz w:val="24"/>
                <w:szCs w:val="24"/>
              </w:rPr>
            </w:pPr>
            <w:r w:rsidRPr="00FB7554">
              <w:rPr>
                <w:rFonts w:ascii="Times New Roman" w:hAnsi="Times New Roman" w:cs="Times New Roman"/>
                <w:sz w:val="24"/>
                <w:szCs w:val="24"/>
              </w:rPr>
              <w:t>Seletuskirja on täiendatud – MTR muutmise kulu kannab TTJA halduskuludest.</w:t>
            </w:r>
          </w:p>
        </w:tc>
      </w:tr>
      <w:tr w:rsidR="000D6DF0" w:rsidRPr="00110EE7" w14:paraId="23B09339" w14:textId="77777777" w:rsidTr="00AA72ED">
        <w:tc>
          <w:tcPr>
            <w:tcW w:w="562" w:type="dxa"/>
          </w:tcPr>
          <w:p w14:paraId="7DB70C2C" w14:textId="767BDDE4" w:rsidR="000D6DF0" w:rsidRPr="00110EE7" w:rsidRDefault="000D6DF0" w:rsidP="000D6DF0">
            <w:pPr>
              <w:jc w:val="both"/>
              <w:rPr>
                <w:rFonts w:ascii="Times New Roman" w:hAnsi="Times New Roman" w:cs="Times New Roman"/>
                <w:sz w:val="24"/>
                <w:szCs w:val="24"/>
              </w:rPr>
            </w:pPr>
            <w:r w:rsidRPr="00110EE7">
              <w:rPr>
                <w:rFonts w:ascii="Times New Roman" w:hAnsi="Times New Roman" w:cs="Times New Roman"/>
                <w:sz w:val="24"/>
                <w:szCs w:val="24"/>
              </w:rPr>
              <w:t>12</w:t>
            </w:r>
          </w:p>
        </w:tc>
        <w:tc>
          <w:tcPr>
            <w:tcW w:w="6946" w:type="dxa"/>
          </w:tcPr>
          <w:p w14:paraId="1B49D0C7" w14:textId="13453311" w:rsidR="000D6DF0" w:rsidRPr="00110EE7" w:rsidRDefault="000D6DF0" w:rsidP="000D6DF0">
            <w:pPr>
              <w:pStyle w:val="Vahedeta"/>
              <w:jc w:val="both"/>
              <w:rPr>
                <w:rFonts w:ascii="Times New Roman" w:hAnsi="Times New Roman" w:cs="Times New Roman"/>
                <w:sz w:val="24"/>
                <w:szCs w:val="24"/>
              </w:rPr>
            </w:pPr>
            <w:r w:rsidRPr="00110EE7">
              <w:rPr>
                <w:rFonts w:ascii="Times New Roman" w:hAnsi="Times New Roman" w:cs="Times New Roman"/>
                <w:sz w:val="24"/>
                <w:szCs w:val="24"/>
              </w:rPr>
              <w:t>Palume arvestada ka eelnõu ja seletuskirja failides esitatud normitehniliste märkustega ja märkustega eelnõu seletuskirja kohta.</w:t>
            </w:r>
          </w:p>
          <w:p w14:paraId="725AF77B" w14:textId="79DB2666" w:rsidR="000D6DF0" w:rsidRPr="00110EE7" w:rsidRDefault="000D6DF0" w:rsidP="000D6DF0">
            <w:pPr>
              <w:pStyle w:val="Vahedeta"/>
              <w:tabs>
                <w:tab w:val="left" w:pos="978"/>
              </w:tabs>
              <w:jc w:val="both"/>
              <w:rPr>
                <w:rFonts w:ascii="Times New Roman" w:hAnsi="Times New Roman" w:cs="Times New Roman"/>
                <w:b/>
                <w:bCs/>
                <w:sz w:val="24"/>
                <w:szCs w:val="24"/>
              </w:rPr>
            </w:pPr>
          </w:p>
        </w:tc>
        <w:tc>
          <w:tcPr>
            <w:tcW w:w="2268" w:type="dxa"/>
          </w:tcPr>
          <w:p w14:paraId="26D5217F" w14:textId="1FA9250E" w:rsidR="000D6DF0" w:rsidRPr="00435737" w:rsidRDefault="000D6DF0" w:rsidP="000D6DF0">
            <w:pPr>
              <w:jc w:val="both"/>
              <w:rPr>
                <w:rFonts w:ascii="Times New Roman" w:hAnsi="Times New Roman" w:cs="Times New Roman"/>
                <w:sz w:val="24"/>
                <w:szCs w:val="24"/>
              </w:rPr>
            </w:pPr>
            <w:r w:rsidRPr="00435737">
              <w:rPr>
                <w:rFonts w:ascii="Times New Roman" w:hAnsi="Times New Roman" w:cs="Times New Roman"/>
                <w:sz w:val="24"/>
                <w:szCs w:val="24"/>
              </w:rPr>
              <w:t>Arvestatud</w:t>
            </w:r>
          </w:p>
        </w:tc>
        <w:tc>
          <w:tcPr>
            <w:tcW w:w="4218" w:type="dxa"/>
          </w:tcPr>
          <w:p w14:paraId="5972C9B2" w14:textId="77777777" w:rsidR="000D6DF0" w:rsidRPr="00110EE7" w:rsidRDefault="000D6DF0" w:rsidP="000D6DF0">
            <w:pPr>
              <w:jc w:val="both"/>
              <w:rPr>
                <w:rFonts w:ascii="Times New Roman" w:hAnsi="Times New Roman" w:cs="Times New Roman"/>
                <w:b/>
                <w:bCs/>
                <w:sz w:val="24"/>
                <w:szCs w:val="24"/>
              </w:rPr>
            </w:pPr>
          </w:p>
        </w:tc>
      </w:tr>
    </w:tbl>
    <w:p w14:paraId="78CD7103" w14:textId="77777777" w:rsidR="00392ADC" w:rsidRPr="00110EE7" w:rsidRDefault="00392ADC" w:rsidP="00D218F8">
      <w:pPr>
        <w:spacing w:after="0" w:line="240" w:lineRule="auto"/>
        <w:jc w:val="both"/>
        <w:rPr>
          <w:rFonts w:ascii="Times New Roman" w:hAnsi="Times New Roman" w:cs="Times New Roman"/>
          <w:sz w:val="24"/>
          <w:szCs w:val="24"/>
        </w:rPr>
      </w:pPr>
    </w:p>
    <w:p w14:paraId="3BCFE94C" w14:textId="089855FA" w:rsidR="00392ADC" w:rsidRPr="00110EE7" w:rsidRDefault="00392ADC" w:rsidP="00392ADC">
      <w:pPr>
        <w:spacing w:after="0" w:line="240" w:lineRule="auto"/>
        <w:jc w:val="both"/>
        <w:rPr>
          <w:rFonts w:ascii="Times New Roman" w:hAnsi="Times New Roman" w:cs="Times New Roman"/>
          <w:b/>
          <w:bCs/>
          <w:sz w:val="24"/>
          <w:szCs w:val="24"/>
        </w:rPr>
      </w:pPr>
      <w:r w:rsidRPr="00110EE7">
        <w:rPr>
          <w:rFonts w:ascii="Times New Roman" w:hAnsi="Times New Roman" w:cs="Times New Roman"/>
          <w:b/>
          <w:bCs/>
          <w:sz w:val="24"/>
          <w:szCs w:val="24"/>
        </w:rPr>
        <w:t>6. Maksu- ja Tolliamet</w:t>
      </w:r>
    </w:p>
    <w:tbl>
      <w:tblPr>
        <w:tblStyle w:val="Kontuurtabel"/>
        <w:tblW w:w="0" w:type="auto"/>
        <w:tblLook w:val="04A0" w:firstRow="1" w:lastRow="0" w:firstColumn="1" w:lastColumn="0" w:noHBand="0" w:noVBand="1"/>
      </w:tblPr>
      <w:tblGrid>
        <w:gridCol w:w="562"/>
        <w:gridCol w:w="6946"/>
        <w:gridCol w:w="2268"/>
        <w:gridCol w:w="4218"/>
      </w:tblGrid>
      <w:tr w:rsidR="00392ADC" w:rsidRPr="00110EE7" w14:paraId="2EDE977D" w14:textId="77777777" w:rsidTr="00AA72ED">
        <w:tc>
          <w:tcPr>
            <w:tcW w:w="562" w:type="dxa"/>
          </w:tcPr>
          <w:p w14:paraId="3235D5A3" w14:textId="77777777"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sz w:val="24"/>
                <w:szCs w:val="24"/>
              </w:rPr>
              <w:t>Jrk nr</w:t>
            </w:r>
          </w:p>
        </w:tc>
        <w:tc>
          <w:tcPr>
            <w:tcW w:w="6946" w:type="dxa"/>
          </w:tcPr>
          <w:p w14:paraId="56519D90" w14:textId="77777777"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b/>
                <w:bCs/>
                <w:sz w:val="24"/>
                <w:szCs w:val="24"/>
              </w:rPr>
              <w:t>Ettepaneku/märkuse sisu</w:t>
            </w:r>
          </w:p>
        </w:tc>
        <w:tc>
          <w:tcPr>
            <w:tcW w:w="2268" w:type="dxa"/>
          </w:tcPr>
          <w:p w14:paraId="141684DE" w14:textId="77777777"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b/>
                <w:bCs/>
                <w:sz w:val="24"/>
                <w:szCs w:val="24"/>
              </w:rPr>
              <w:t>Arvestatud/ mittearvestatud</w:t>
            </w:r>
          </w:p>
        </w:tc>
        <w:tc>
          <w:tcPr>
            <w:tcW w:w="4218" w:type="dxa"/>
          </w:tcPr>
          <w:p w14:paraId="3EF3ED2C" w14:textId="77777777"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b/>
                <w:bCs/>
                <w:sz w:val="24"/>
                <w:szCs w:val="24"/>
              </w:rPr>
              <w:t>Kommentaarid</w:t>
            </w:r>
          </w:p>
        </w:tc>
      </w:tr>
      <w:tr w:rsidR="00392ADC" w:rsidRPr="00110EE7" w14:paraId="40D3CF40" w14:textId="77777777" w:rsidTr="00264ED9">
        <w:tc>
          <w:tcPr>
            <w:tcW w:w="562" w:type="dxa"/>
            <w:shd w:val="clear" w:color="auto" w:fill="auto"/>
          </w:tcPr>
          <w:p w14:paraId="7F9D65D7" w14:textId="18C2B267"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sz w:val="24"/>
                <w:szCs w:val="24"/>
              </w:rPr>
              <w:t>1</w:t>
            </w:r>
          </w:p>
        </w:tc>
        <w:tc>
          <w:tcPr>
            <w:tcW w:w="6946" w:type="dxa"/>
          </w:tcPr>
          <w:p w14:paraId="5458E82F" w14:textId="00E84FE0" w:rsidR="00392ADC" w:rsidRPr="00110EE7" w:rsidRDefault="00392ADC" w:rsidP="00AA72ED">
            <w:pPr>
              <w:jc w:val="both"/>
              <w:rPr>
                <w:rFonts w:ascii="Times New Roman" w:hAnsi="Times New Roman" w:cs="Times New Roman"/>
                <w:sz w:val="24"/>
                <w:szCs w:val="24"/>
                <w:highlight w:val="yellow"/>
              </w:rPr>
            </w:pPr>
            <w:r w:rsidRPr="00110EE7">
              <w:rPr>
                <w:rFonts w:ascii="Times New Roman" w:hAnsi="Times New Roman" w:cs="Times New Roman"/>
                <w:sz w:val="24"/>
                <w:szCs w:val="24"/>
              </w:rPr>
              <w:t xml:space="preserve">Toome järgnevalt välja tähelepaneku eelnõu osa. Eelnõu § 1 punktiga 29 muudetakse atmosfääriõhu kaitse seaduse § 236, eelnõu § 1 punktiga 30 täiendatakse sama seadust §-ga 236¹. Samuti eelnõu § 1 punktiga 31 muudetakse atmosfääriõhu kaitse seaduse § 238 ning eelnõu § 1 punktiga 32 täiendatakse sama seadust §-ga 238¹. Eelnõu kohaselt eelmärgitule nähakse ette üksnes füüsiliste isikute vastutus, kuid varasemalt kehtinud või kavandatud juriidiliste isikute karistusnorm on eelnõust välja jäetud. Samuti ei ole eelnõu seletuskirjas välja toodud, miks juriidiliste isikute karistussäte on välja </w:t>
            </w:r>
            <w:r w:rsidRPr="00110EE7">
              <w:rPr>
                <w:rFonts w:ascii="Times New Roman" w:hAnsi="Times New Roman" w:cs="Times New Roman"/>
                <w:sz w:val="24"/>
                <w:szCs w:val="24"/>
              </w:rPr>
              <w:lastRenderedPageBreak/>
              <w:t>jäetud. Soovitame kaaluda juriidiliste isikute vastutuse sätestamise vajalikkust ning vajadusel see lisada eelnõusse tagasi. Alternatiivina tuleks eelnõu seletuskirjas selgelt põhjendada selle sätte välja jätmist. Leiame, et atmosfääriõhu kaitse seaduse kõik 9. peatükis sätestatud väärteokoosseisud peaksid olema formuleeritud viisil, mis võimaldavad vajadusel kohaldada vastutust ka juriidilise isiku suhtes. Palume seaduse olemasolevate 9. peatüki paragrahvide muutmisel kui ka uute paragrahvide lisamisel eelmärgitule tähelepanu pöörata.</w:t>
            </w:r>
          </w:p>
        </w:tc>
        <w:tc>
          <w:tcPr>
            <w:tcW w:w="2268" w:type="dxa"/>
          </w:tcPr>
          <w:p w14:paraId="71D02F4F" w14:textId="0CAB72FA" w:rsidR="00392ADC" w:rsidRPr="00110EE7" w:rsidRDefault="00264ED9" w:rsidP="00AA72ED">
            <w:pPr>
              <w:jc w:val="both"/>
              <w:rPr>
                <w:rFonts w:ascii="Times New Roman" w:hAnsi="Times New Roman" w:cs="Times New Roman"/>
                <w:sz w:val="24"/>
                <w:szCs w:val="24"/>
              </w:rPr>
            </w:pPr>
            <w:r w:rsidRPr="00110EE7">
              <w:rPr>
                <w:rFonts w:ascii="Times New Roman" w:hAnsi="Times New Roman" w:cs="Times New Roman"/>
                <w:sz w:val="24"/>
                <w:szCs w:val="24"/>
              </w:rPr>
              <w:lastRenderedPageBreak/>
              <w:t>A</w:t>
            </w:r>
            <w:r w:rsidR="004B0758" w:rsidRPr="00110EE7">
              <w:rPr>
                <w:rFonts w:ascii="Times New Roman" w:hAnsi="Times New Roman" w:cs="Times New Roman"/>
                <w:sz w:val="24"/>
                <w:szCs w:val="24"/>
              </w:rPr>
              <w:t>rvestatud</w:t>
            </w:r>
          </w:p>
        </w:tc>
        <w:tc>
          <w:tcPr>
            <w:tcW w:w="4218" w:type="dxa"/>
          </w:tcPr>
          <w:p w14:paraId="5AB3DA8A" w14:textId="1463FD64" w:rsidR="004B0758" w:rsidRPr="00110EE7" w:rsidRDefault="004B0758" w:rsidP="00AA72ED">
            <w:pPr>
              <w:jc w:val="both"/>
              <w:rPr>
                <w:rFonts w:ascii="Times New Roman" w:hAnsi="Times New Roman" w:cs="Times New Roman"/>
                <w:sz w:val="24"/>
                <w:szCs w:val="24"/>
              </w:rPr>
            </w:pPr>
            <w:r w:rsidRPr="00110EE7">
              <w:rPr>
                <w:rFonts w:ascii="Times New Roman" w:hAnsi="Times New Roman" w:cs="Times New Roman"/>
                <w:sz w:val="24"/>
                <w:szCs w:val="24"/>
              </w:rPr>
              <w:t xml:space="preserve">Juhime tähelepanu, et </w:t>
            </w:r>
            <w:r w:rsidR="00264ED9" w:rsidRPr="00110EE7">
              <w:rPr>
                <w:rFonts w:ascii="Times New Roman" w:hAnsi="Times New Roman" w:cs="Times New Roman"/>
                <w:sz w:val="24"/>
                <w:szCs w:val="24"/>
              </w:rPr>
              <w:t xml:space="preserve">EL määruse </w:t>
            </w:r>
            <w:r w:rsidRPr="00110EE7">
              <w:rPr>
                <w:rFonts w:ascii="Times New Roman" w:hAnsi="Times New Roman" w:cs="Times New Roman"/>
                <w:sz w:val="24"/>
                <w:szCs w:val="24"/>
              </w:rPr>
              <w:t>sätted ei erista füüsilist ja juriidilist isikut. EL määrus 2024/573 näeb ette uued trahvimise põhimõtted ja sealt lähtub, et nii eraisiku kui juriidilise isiku trahvimäärad on ühesuurused.</w:t>
            </w:r>
            <w:r w:rsidR="00264ED9" w:rsidRPr="00110EE7">
              <w:rPr>
                <w:rFonts w:ascii="Times New Roman" w:hAnsi="Times New Roman" w:cs="Times New Roman"/>
                <w:sz w:val="24"/>
                <w:szCs w:val="24"/>
              </w:rPr>
              <w:t xml:space="preserve"> Selguse huvides lisasime juriidilise isiku trahvimäära, mis on samaväärne füüsilise isiku määraga.</w:t>
            </w:r>
          </w:p>
        </w:tc>
      </w:tr>
      <w:tr w:rsidR="00392ADC" w:rsidRPr="00110EE7" w14:paraId="73AC553A" w14:textId="77777777" w:rsidTr="00AA72ED">
        <w:tc>
          <w:tcPr>
            <w:tcW w:w="562" w:type="dxa"/>
          </w:tcPr>
          <w:p w14:paraId="2940BA8C" w14:textId="354E7580"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sz w:val="24"/>
                <w:szCs w:val="24"/>
              </w:rPr>
              <w:t>2</w:t>
            </w:r>
          </w:p>
        </w:tc>
        <w:tc>
          <w:tcPr>
            <w:tcW w:w="6946" w:type="dxa"/>
          </w:tcPr>
          <w:p w14:paraId="334160C8" w14:textId="6F04DA31" w:rsidR="00392ADC" w:rsidRPr="00110EE7" w:rsidRDefault="00392ADC" w:rsidP="00AA72ED">
            <w:pPr>
              <w:jc w:val="both"/>
              <w:rPr>
                <w:rFonts w:ascii="Times New Roman" w:hAnsi="Times New Roman" w:cs="Times New Roman"/>
                <w:sz w:val="24"/>
                <w:szCs w:val="24"/>
              </w:rPr>
            </w:pPr>
            <w:r w:rsidRPr="00110EE7">
              <w:rPr>
                <w:rFonts w:ascii="Times New Roman" w:hAnsi="Times New Roman" w:cs="Times New Roman"/>
                <w:sz w:val="24"/>
                <w:szCs w:val="24"/>
              </w:rPr>
              <w:t>Samuti eelnõu seletuskirjas § 1 punktides 34 ja 35 on viidatud ekslikult Euroopa Parlamendi ja nõukogu määrusele (EL) nr 517/2017, kuid tegelikult tuleks viidata Euroopa Parlamendi ja nõukogu määruse (EL) nr 517/2014</w:t>
            </w:r>
            <w:r w:rsidR="003E33BC">
              <w:rPr>
                <w:rFonts w:ascii="Times New Roman" w:hAnsi="Times New Roman" w:cs="Times New Roman"/>
                <w:sz w:val="24"/>
                <w:szCs w:val="24"/>
              </w:rPr>
              <w:t>.</w:t>
            </w:r>
          </w:p>
        </w:tc>
        <w:tc>
          <w:tcPr>
            <w:tcW w:w="2268" w:type="dxa"/>
          </w:tcPr>
          <w:p w14:paraId="6E2A9CEA" w14:textId="1058FFFC" w:rsidR="0081269B" w:rsidRPr="00110EE7" w:rsidRDefault="0081269B" w:rsidP="00AA72ED">
            <w:pPr>
              <w:jc w:val="both"/>
              <w:rPr>
                <w:rFonts w:ascii="Times New Roman" w:hAnsi="Times New Roman" w:cs="Times New Roman"/>
                <w:sz w:val="24"/>
                <w:szCs w:val="24"/>
              </w:rPr>
            </w:pPr>
            <w:r w:rsidRPr="00110EE7">
              <w:rPr>
                <w:rFonts w:ascii="Times New Roman" w:hAnsi="Times New Roman" w:cs="Times New Roman"/>
                <w:sz w:val="24"/>
                <w:szCs w:val="24"/>
              </w:rPr>
              <w:t>Arvestatud</w:t>
            </w:r>
          </w:p>
        </w:tc>
        <w:tc>
          <w:tcPr>
            <w:tcW w:w="4218" w:type="dxa"/>
          </w:tcPr>
          <w:p w14:paraId="73D2A90D" w14:textId="7C980500" w:rsidR="00392ADC" w:rsidRPr="00110EE7" w:rsidRDefault="004B0758" w:rsidP="00AA72ED">
            <w:pPr>
              <w:jc w:val="both"/>
              <w:rPr>
                <w:rFonts w:ascii="Times New Roman" w:hAnsi="Times New Roman" w:cs="Times New Roman"/>
                <w:sz w:val="24"/>
                <w:szCs w:val="24"/>
              </w:rPr>
            </w:pPr>
            <w:r w:rsidRPr="00110EE7">
              <w:rPr>
                <w:rFonts w:ascii="Times New Roman" w:hAnsi="Times New Roman" w:cs="Times New Roman"/>
                <w:sz w:val="24"/>
                <w:szCs w:val="24"/>
              </w:rPr>
              <w:t>Muudetud viited määrusele. Õige</w:t>
            </w:r>
            <w:r w:rsidR="003E33BC">
              <w:rPr>
                <w:rFonts w:ascii="Times New Roman" w:hAnsi="Times New Roman" w:cs="Times New Roman"/>
                <w:sz w:val="24"/>
                <w:szCs w:val="24"/>
              </w:rPr>
              <w:t xml:space="preserve"> on</w:t>
            </w:r>
            <w:r w:rsidRPr="00110EE7">
              <w:rPr>
                <w:rFonts w:ascii="Times New Roman" w:hAnsi="Times New Roman" w:cs="Times New Roman"/>
                <w:sz w:val="24"/>
                <w:szCs w:val="24"/>
              </w:rPr>
              <w:t xml:space="preserve"> viide </w:t>
            </w:r>
            <w:r w:rsidR="003E33BC">
              <w:rPr>
                <w:rFonts w:ascii="Times New Roman" w:hAnsi="Times New Roman" w:cs="Times New Roman"/>
                <w:sz w:val="24"/>
                <w:szCs w:val="24"/>
              </w:rPr>
              <w:t xml:space="preserve">määrusele (EL) </w:t>
            </w:r>
            <w:r w:rsidRPr="00110EE7">
              <w:rPr>
                <w:rFonts w:ascii="Times New Roman" w:hAnsi="Times New Roman" w:cs="Times New Roman"/>
                <w:sz w:val="24"/>
                <w:szCs w:val="24"/>
              </w:rPr>
              <w:t>517/2014</w:t>
            </w:r>
            <w:r w:rsidR="00EB3388" w:rsidRPr="00110EE7">
              <w:rPr>
                <w:rFonts w:ascii="Times New Roman" w:hAnsi="Times New Roman" w:cs="Times New Roman"/>
                <w:sz w:val="24"/>
                <w:szCs w:val="24"/>
              </w:rPr>
              <w:t>.</w:t>
            </w:r>
          </w:p>
        </w:tc>
      </w:tr>
    </w:tbl>
    <w:p w14:paraId="3FB27218" w14:textId="77777777" w:rsidR="00392ADC" w:rsidRPr="00110EE7" w:rsidRDefault="00392ADC" w:rsidP="00D218F8">
      <w:pPr>
        <w:spacing w:after="0" w:line="240" w:lineRule="auto"/>
        <w:jc w:val="both"/>
        <w:rPr>
          <w:rFonts w:ascii="Times New Roman" w:hAnsi="Times New Roman" w:cs="Times New Roman"/>
          <w:sz w:val="24"/>
          <w:szCs w:val="24"/>
        </w:rPr>
      </w:pPr>
    </w:p>
    <w:sectPr w:rsidR="00392ADC" w:rsidRPr="00110EE7" w:rsidSect="00D218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9702" w14:textId="77777777" w:rsidR="00110EE7" w:rsidRDefault="00110EE7" w:rsidP="00110EE7">
      <w:pPr>
        <w:spacing w:after="0" w:line="240" w:lineRule="auto"/>
      </w:pPr>
      <w:r>
        <w:separator/>
      </w:r>
    </w:p>
  </w:endnote>
  <w:endnote w:type="continuationSeparator" w:id="0">
    <w:p w14:paraId="2AE62FC4" w14:textId="77777777" w:rsidR="00110EE7" w:rsidRDefault="00110EE7" w:rsidP="0011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F589" w14:textId="77777777" w:rsidR="00110EE7" w:rsidRDefault="00110EE7" w:rsidP="00110EE7">
      <w:pPr>
        <w:spacing w:after="0" w:line="240" w:lineRule="auto"/>
      </w:pPr>
      <w:r>
        <w:separator/>
      </w:r>
    </w:p>
  </w:footnote>
  <w:footnote w:type="continuationSeparator" w:id="0">
    <w:p w14:paraId="7D2FA751" w14:textId="77777777" w:rsidR="00110EE7" w:rsidRDefault="00110EE7" w:rsidP="00110EE7">
      <w:pPr>
        <w:spacing w:after="0" w:line="240" w:lineRule="auto"/>
      </w:pPr>
      <w:r>
        <w:continuationSeparator/>
      </w:r>
    </w:p>
  </w:footnote>
  <w:footnote w:id="1">
    <w:p w14:paraId="495F5F22" w14:textId="77777777" w:rsidR="00110EE7" w:rsidRPr="00CA1714" w:rsidRDefault="00110EE7" w:rsidP="00110EE7">
      <w:pPr>
        <w:pStyle w:val="Allmrkusetekst"/>
        <w:rPr>
          <w:rFonts w:ascii="Arial" w:hAnsi="Arial" w:cs="Arial"/>
          <w:sz w:val="16"/>
          <w:szCs w:val="16"/>
        </w:rPr>
      </w:pPr>
      <w:r w:rsidRPr="00CA1714">
        <w:rPr>
          <w:rStyle w:val="Allmrkuseviide"/>
          <w:rFonts w:ascii="Arial" w:hAnsi="Arial" w:cs="Arial"/>
          <w:sz w:val="16"/>
          <w:szCs w:val="16"/>
        </w:rPr>
        <w:footnoteRef/>
      </w:r>
      <w:r w:rsidRPr="00CA1714">
        <w:rPr>
          <w:rFonts w:ascii="Arial" w:hAnsi="Arial" w:cs="Arial"/>
          <w:sz w:val="16"/>
          <w:szCs w:val="16"/>
        </w:rPr>
        <w:t xml:space="preserve"> https://harno.ee/sites/default/files/documents/2021-03/haldusjuhis.pdf</w:t>
      </w:r>
    </w:p>
  </w:footnote>
  <w:footnote w:id="2">
    <w:p w14:paraId="51EDAAC2" w14:textId="77777777" w:rsidR="00110EE7" w:rsidRPr="00E21EB0" w:rsidRDefault="00110EE7" w:rsidP="00110EE7">
      <w:pPr>
        <w:pStyle w:val="Allmrkusetekst"/>
        <w:rPr>
          <w:rFonts w:ascii="Arial" w:hAnsi="Arial" w:cs="Arial"/>
          <w:sz w:val="16"/>
          <w:szCs w:val="16"/>
        </w:rPr>
      </w:pPr>
      <w:r w:rsidRPr="00E21EB0">
        <w:rPr>
          <w:rStyle w:val="Allmrkuseviide"/>
          <w:rFonts w:ascii="Arial" w:hAnsi="Arial" w:cs="Arial"/>
          <w:sz w:val="16"/>
          <w:szCs w:val="16"/>
        </w:rPr>
        <w:footnoteRef/>
      </w:r>
      <w:r w:rsidRPr="00E21EB0">
        <w:rPr>
          <w:rFonts w:ascii="Arial" w:hAnsi="Arial" w:cs="Arial"/>
          <w:sz w:val="16"/>
          <w:szCs w:val="16"/>
        </w:rPr>
        <w:t xml:space="preserve"> </w:t>
      </w:r>
      <w:hyperlink r:id="rId1" w:history="1">
        <w:r w:rsidRPr="00E21EB0">
          <w:rPr>
            <w:rStyle w:val="Hperlink"/>
            <w:rFonts w:ascii="Arial" w:hAnsi="Arial" w:cs="Arial"/>
            <w:sz w:val="16"/>
            <w:szCs w:val="16"/>
          </w:rPr>
          <w:t>Halduskoormuse tasakaalustamise reegli rakendamise juhis.pdf</w:t>
        </w:r>
      </w:hyperlink>
    </w:p>
  </w:footnote>
  <w:footnote w:id="3">
    <w:p w14:paraId="2F9CBF75" w14:textId="77777777" w:rsidR="000D6DF0" w:rsidRPr="00666BDF" w:rsidRDefault="000D6DF0" w:rsidP="00110EE7">
      <w:pPr>
        <w:pStyle w:val="Allmrkusetekst"/>
        <w:rPr>
          <w:rFonts w:ascii="Arial" w:hAnsi="Arial" w:cs="Arial"/>
          <w:sz w:val="16"/>
          <w:szCs w:val="16"/>
        </w:rPr>
      </w:pPr>
      <w:r w:rsidRPr="00666BDF">
        <w:rPr>
          <w:rStyle w:val="Allmrkuseviide"/>
          <w:rFonts w:ascii="Arial" w:hAnsi="Arial" w:cs="Arial"/>
          <w:sz w:val="16"/>
          <w:szCs w:val="16"/>
        </w:rPr>
        <w:footnoteRef/>
      </w:r>
      <w:r w:rsidRPr="00666BDF">
        <w:rPr>
          <w:rFonts w:ascii="Arial" w:hAnsi="Arial" w:cs="Arial"/>
          <w:sz w:val="16"/>
          <w:szCs w:val="16"/>
        </w:rPr>
        <w:t xml:space="preserve"> </w:t>
      </w:r>
      <w:r w:rsidRPr="00666BDF">
        <w:rPr>
          <w:rFonts w:ascii="Arial" w:hAnsi="Arial" w:cs="Arial"/>
          <w:color w:val="202020"/>
          <w:sz w:val="16"/>
          <w:szCs w:val="16"/>
          <w:shd w:val="clear" w:color="auto" w:fill="FFFFFF"/>
        </w:rPr>
        <w:t xml:space="preserve">Soovitame tutvuda </w:t>
      </w:r>
      <w:hyperlink r:id="rId2" w:history="1">
        <w:r w:rsidRPr="00666BDF">
          <w:rPr>
            <w:rStyle w:val="Hperlink"/>
            <w:rFonts w:ascii="Arial" w:hAnsi="Arial" w:cs="Arial"/>
            <w:sz w:val="16"/>
            <w:szCs w:val="16"/>
            <w:shd w:val="clear" w:color="auto" w:fill="FFFFFF"/>
          </w:rPr>
          <w:t>seaduseelnõu 554 SE</w:t>
        </w:r>
      </w:hyperlink>
      <w:r w:rsidRPr="00666BDF">
        <w:rPr>
          <w:rFonts w:ascii="Arial" w:hAnsi="Arial" w:cs="Arial"/>
          <w:color w:val="202020"/>
          <w:sz w:val="16"/>
          <w:szCs w:val="16"/>
          <w:shd w:val="clear" w:color="auto" w:fill="FFFFFF"/>
        </w:rPr>
        <w:t xml:space="preserve"> seletuskirja punktiga 3.8.1 (Väärteo olemus, selle eristamine kuriteost ja haldussunnist).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119FA"/>
    <w:multiLevelType w:val="hybridMultilevel"/>
    <w:tmpl w:val="5E242362"/>
    <w:lvl w:ilvl="0" w:tplc="F71A5572">
      <w:start w:val="1"/>
      <w:numFmt w:val="decimal"/>
      <w:lvlText w:val="%1)"/>
      <w:lvlJc w:val="left"/>
      <w:pPr>
        <w:ind w:left="1080" w:hanging="72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14A55CB"/>
    <w:multiLevelType w:val="hybridMultilevel"/>
    <w:tmpl w:val="A57620F0"/>
    <w:lvl w:ilvl="0" w:tplc="0AC23090">
      <w:start w:val="1"/>
      <w:numFmt w:val="decimal"/>
      <w:lvlText w:val="%1."/>
      <w:lvlJc w:val="left"/>
      <w:pPr>
        <w:ind w:left="360" w:hanging="360"/>
      </w:pPr>
      <w:rPr>
        <w:rFonts w:hint="default"/>
        <w:b/>
        <w:bCs/>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628969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681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F8"/>
    <w:rsid w:val="00001FBD"/>
    <w:rsid w:val="0000410A"/>
    <w:rsid w:val="00010E3A"/>
    <w:rsid w:val="00021176"/>
    <w:rsid w:val="000251B0"/>
    <w:rsid w:val="00092A95"/>
    <w:rsid w:val="000A1120"/>
    <w:rsid w:val="000A1F18"/>
    <w:rsid w:val="000C546B"/>
    <w:rsid w:val="000D3D41"/>
    <w:rsid w:val="000D418E"/>
    <w:rsid w:val="000D6DF0"/>
    <w:rsid w:val="00110EE7"/>
    <w:rsid w:val="001128A2"/>
    <w:rsid w:val="001231E6"/>
    <w:rsid w:val="00125CC3"/>
    <w:rsid w:val="0015187A"/>
    <w:rsid w:val="00152D28"/>
    <w:rsid w:val="00153472"/>
    <w:rsid w:val="00162D0D"/>
    <w:rsid w:val="00173430"/>
    <w:rsid w:val="00187245"/>
    <w:rsid w:val="00190223"/>
    <w:rsid w:val="001D0C87"/>
    <w:rsid w:val="001D65DB"/>
    <w:rsid w:val="001E767E"/>
    <w:rsid w:val="002414C8"/>
    <w:rsid w:val="00241688"/>
    <w:rsid w:val="00245430"/>
    <w:rsid w:val="002539CF"/>
    <w:rsid w:val="00263917"/>
    <w:rsid w:val="00264ED9"/>
    <w:rsid w:val="00283642"/>
    <w:rsid w:val="002A62A1"/>
    <w:rsid w:val="002A74B9"/>
    <w:rsid w:val="002B16D4"/>
    <w:rsid w:val="002C107D"/>
    <w:rsid w:val="002C48C1"/>
    <w:rsid w:val="002E3E53"/>
    <w:rsid w:val="002F28AB"/>
    <w:rsid w:val="002F3126"/>
    <w:rsid w:val="002F65B3"/>
    <w:rsid w:val="003478C0"/>
    <w:rsid w:val="00355377"/>
    <w:rsid w:val="003861E0"/>
    <w:rsid w:val="00392ADC"/>
    <w:rsid w:val="00394BBD"/>
    <w:rsid w:val="003A0638"/>
    <w:rsid w:val="003A7B61"/>
    <w:rsid w:val="003D4459"/>
    <w:rsid w:val="003E33BC"/>
    <w:rsid w:val="003E3D66"/>
    <w:rsid w:val="003E5241"/>
    <w:rsid w:val="003E6DA0"/>
    <w:rsid w:val="004057FC"/>
    <w:rsid w:val="00420BD3"/>
    <w:rsid w:val="00431A4F"/>
    <w:rsid w:val="00435737"/>
    <w:rsid w:val="00435E95"/>
    <w:rsid w:val="004421F6"/>
    <w:rsid w:val="004820A4"/>
    <w:rsid w:val="004836F9"/>
    <w:rsid w:val="004B0758"/>
    <w:rsid w:val="004B1423"/>
    <w:rsid w:val="004B536E"/>
    <w:rsid w:val="004D2482"/>
    <w:rsid w:val="004D34E6"/>
    <w:rsid w:val="004D57A0"/>
    <w:rsid w:val="004E2163"/>
    <w:rsid w:val="004E64B5"/>
    <w:rsid w:val="0050327B"/>
    <w:rsid w:val="0051179A"/>
    <w:rsid w:val="00513CED"/>
    <w:rsid w:val="00530814"/>
    <w:rsid w:val="00540909"/>
    <w:rsid w:val="00574A08"/>
    <w:rsid w:val="005777B7"/>
    <w:rsid w:val="005825C7"/>
    <w:rsid w:val="0059793B"/>
    <w:rsid w:val="005D2719"/>
    <w:rsid w:val="005E176B"/>
    <w:rsid w:val="005F2566"/>
    <w:rsid w:val="005F5CBC"/>
    <w:rsid w:val="00621D46"/>
    <w:rsid w:val="0064618D"/>
    <w:rsid w:val="00655DF5"/>
    <w:rsid w:val="00660AD0"/>
    <w:rsid w:val="00667CD1"/>
    <w:rsid w:val="00686D03"/>
    <w:rsid w:val="006B7ADE"/>
    <w:rsid w:val="006C50B0"/>
    <w:rsid w:val="006D02B5"/>
    <w:rsid w:val="006D7E62"/>
    <w:rsid w:val="00702F65"/>
    <w:rsid w:val="00710D02"/>
    <w:rsid w:val="00734F48"/>
    <w:rsid w:val="00735CF2"/>
    <w:rsid w:val="0075060E"/>
    <w:rsid w:val="007709D9"/>
    <w:rsid w:val="00773ECE"/>
    <w:rsid w:val="007A3162"/>
    <w:rsid w:val="007A4088"/>
    <w:rsid w:val="007A64F3"/>
    <w:rsid w:val="007B2618"/>
    <w:rsid w:val="007C3991"/>
    <w:rsid w:val="007E0017"/>
    <w:rsid w:val="007F504D"/>
    <w:rsid w:val="00807DFB"/>
    <w:rsid w:val="0081269B"/>
    <w:rsid w:val="0082100C"/>
    <w:rsid w:val="00842A67"/>
    <w:rsid w:val="0086588E"/>
    <w:rsid w:val="00870776"/>
    <w:rsid w:val="00895E5E"/>
    <w:rsid w:val="008A65F8"/>
    <w:rsid w:val="008B4087"/>
    <w:rsid w:val="008C1C9D"/>
    <w:rsid w:val="008C75E0"/>
    <w:rsid w:val="008D0218"/>
    <w:rsid w:val="008D43F9"/>
    <w:rsid w:val="008E04C1"/>
    <w:rsid w:val="008E7AAC"/>
    <w:rsid w:val="008F1FEC"/>
    <w:rsid w:val="00911EB7"/>
    <w:rsid w:val="00921184"/>
    <w:rsid w:val="0092180B"/>
    <w:rsid w:val="00923C3E"/>
    <w:rsid w:val="009241A6"/>
    <w:rsid w:val="00971D46"/>
    <w:rsid w:val="00973C15"/>
    <w:rsid w:val="009749D6"/>
    <w:rsid w:val="00977CC8"/>
    <w:rsid w:val="00982893"/>
    <w:rsid w:val="00983CB7"/>
    <w:rsid w:val="009A0DC6"/>
    <w:rsid w:val="009A128F"/>
    <w:rsid w:val="009B4DAB"/>
    <w:rsid w:val="009D38AD"/>
    <w:rsid w:val="00A052B8"/>
    <w:rsid w:val="00A056E4"/>
    <w:rsid w:val="00A10592"/>
    <w:rsid w:val="00A17B75"/>
    <w:rsid w:val="00A223C0"/>
    <w:rsid w:val="00A346FC"/>
    <w:rsid w:val="00A66A5F"/>
    <w:rsid w:val="00A779B8"/>
    <w:rsid w:val="00A85FE4"/>
    <w:rsid w:val="00AA355D"/>
    <w:rsid w:val="00AA3B10"/>
    <w:rsid w:val="00AC3F5C"/>
    <w:rsid w:val="00AD7055"/>
    <w:rsid w:val="00AE6F6B"/>
    <w:rsid w:val="00B23463"/>
    <w:rsid w:val="00B35E34"/>
    <w:rsid w:val="00B405A0"/>
    <w:rsid w:val="00B55EB5"/>
    <w:rsid w:val="00B77235"/>
    <w:rsid w:val="00B9179D"/>
    <w:rsid w:val="00B96425"/>
    <w:rsid w:val="00BA6AB6"/>
    <w:rsid w:val="00BA7CE9"/>
    <w:rsid w:val="00BB025E"/>
    <w:rsid w:val="00BB6C65"/>
    <w:rsid w:val="00BD0149"/>
    <w:rsid w:val="00BD1C52"/>
    <w:rsid w:val="00BD484B"/>
    <w:rsid w:val="00BE5630"/>
    <w:rsid w:val="00C0518E"/>
    <w:rsid w:val="00C058E5"/>
    <w:rsid w:val="00C17F70"/>
    <w:rsid w:val="00C2344A"/>
    <w:rsid w:val="00C35852"/>
    <w:rsid w:val="00C367D9"/>
    <w:rsid w:val="00C426FF"/>
    <w:rsid w:val="00C71164"/>
    <w:rsid w:val="00C91080"/>
    <w:rsid w:val="00C96820"/>
    <w:rsid w:val="00C97D3F"/>
    <w:rsid w:val="00CD2F0E"/>
    <w:rsid w:val="00D12828"/>
    <w:rsid w:val="00D173C9"/>
    <w:rsid w:val="00D218F8"/>
    <w:rsid w:val="00D35432"/>
    <w:rsid w:val="00D510D6"/>
    <w:rsid w:val="00D67BC0"/>
    <w:rsid w:val="00D70E9C"/>
    <w:rsid w:val="00DB3EA7"/>
    <w:rsid w:val="00DD3003"/>
    <w:rsid w:val="00E22142"/>
    <w:rsid w:val="00E316CA"/>
    <w:rsid w:val="00E53082"/>
    <w:rsid w:val="00E66BC0"/>
    <w:rsid w:val="00E849CB"/>
    <w:rsid w:val="00E95C1B"/>
    <w:rsid w:val="00EA49AE"/>
    <w:rsid w:val="00EB1C81"/>
    <w:rsid w:val="00EB3388"/>
    <w:rsid w:val="00EC1761"/>
    <w:rsid w:val="00EC1796"/>
    <w:rsid w:val="00ED255D"/>
    <w:rsid w:val="00EE0012"/>
    <w:rsid w:val="00EE7CD7"/>
    <w:rsid w:val="00EF04C6"/>
    <w:rsid w:val="00F11819"/>
    <w:rsid w:val="00F338F4"/>
    <w:rsid w:val="00F475CA"/>
    <w:rsid w:val="00F653F1"/>
    <w:rsid w:val="00F74252"/>
    <w:rsid w:val="00F74F32"/>
    <w:rsid w:val="00F8468A"/>
    <w:rsid w:val="00F93450"/>
    <w:rsid w:val="00FB1828"/>
    <w:rsid w:val="00FB33CA"/>
    <w:rsid w:val="00FB7554"/>
    <w:rsid w:val="00FF2269"/>
    <w:rsid w:val="01545782"/>
    <w:rsid w:val="0167FEA5"/>
    <w:rsid w:val="029B9B73"/>
    <w:rsid w:val="02D44109"/>
    <w:rsid w:val="02E73BA6"/>
    <w:rsid w:val="07A18CBF"/>
    <w:rsid w:val="0845430E"/>
    <w:rsid w:val="096B62AA"/>
    <w:rsid w:val="0999540C"/>
    <w:rsid w:val="0A83E1E8"/>
    <w:rsid w:val="0AF5E883"/>
    <w:rsid w:val="0AFEC456"/>
    <w:rsid w:val="0D7CC60A"/>
    <w:rsid w:val="0D8FBA32"/>
    <w:rsid w:val="0DFF2717"/>
    <w:rsid w:val="0EA95F2C"/>
    <w:rsid w:val="0EDA18A4"/>
    <w:rsid w:val="1101B215"/>
    <w:rsid w:val="1215F4F1"/>
    <w:rsid w:val="12BCE9C8"/>
    <w:rsid w:val="12D4BF4F"/>
    <w:rsid w:val="151C380F"/>
    <w:rsid w:val="1652EAE1"/>
    <w:rsid w:val="168F069F"/>
    <w:rsid w:val="17AA910C"/>
    <w:rsid w:val="18F26B44"/>
    <w:rsid w:val="19F58B98"/>
    <w:rsid w:val="1AA59B54"/>
    <w:rsid w:val="1B048F7E"/>
    <w:rsid w:val="1B44221A"/>
    <w:rsid w:val="1B6E62CC"/>
    <w:rsid w:val="1B8EF551"/>
    <w:rsid w:val="1BE6EE80"/>
    <w:rsid w:val="1D1E111F"/>
    <w:rsid w:val="1D8DCA52"/>
    <w:rsid w:val="1F51B9CA"/>
    <w:rsid w:val="2172B3A8"/>
    <w:rsid w:val="24F9A370"/>
    <w:rsid w:val="2572290F"/>
    <w:rsid w:val="25A05171"/>
    <w:rsid w:val="25EF768F"/>
    <w:rsid w:val="27FF261A"/>
    <w:rsid w:val="28E73070"/>
    <w:rsid w:val="2AF12415"/>
    <w:rsid w:val="2B77F20F"/>
    <w:rsid w:val="2CADA825"/>
    <w:rsid w:val="2E78FD5B"/>
    <w:rsid w:val="3189AB94"/>
    <w:rsid w:val="335DC618"/>
    <w:rsid w:val="33CDB5C2"/>
    <w:rsid w:val="347D043A"/>
    <w:rsid w:val="34C75DB5"/>
    <w:rsid w:val="3893B6F8"/>
    <w:rsid w:val="3A706925"/>
    <w:rsid w:val="3CC9BC1B"/>
    <w:rsid w:val="3D33D8A9"/>
    <w:rsid w:val="3DE321EB"/>
    <w:rsid w:val="400E54EA"/>
    <w:rsid w:val="42F6F2DE"/>
    <w:rsid w:val="434E22AE"/>
    <w:rsid w:val="440EEE8A"/>
    <w:rsid w:val="442F414D"/>
    <w:rsid w:val="44DBD2FD"/>
    <w:rsid w:val="46157053"/>
    <w:rsid w:val="465EEF66"/>
    <w:rsid w:val="46BDB082"/>
    <w:rsid w:val="486F1222"/>
    <w:rsid w:val="4979352A"/>
    <w:rsid w:val="4993FB83"/>
    <w:rsid w:val="49B8DD1D"/>
    <w:rsid w:val="4D221956"/>
    <w:rsid w:val="4F43D3CA"/>
    <w:rsid w:val="4F49859B"/>
    <w:rsid w:val="4FE7DCD3"/>
    <w:rsid w:val="50015343"/>
    <w:rsid w:val="50525ABA"/>
    <w:rsid w:val="54228AA9"/>
    <w:rsid w:val="553CFEA4"/>
    <w:rsid w:val="55DF12F5"/>
    <w:rsid w:val="575B013F"/>
    <w:rsid w:val="583FB09B"/>
    <w:rsid w:val="58802F91"/>
    <w:rsid w:val="588AE243"/>
    <w:rsid w:val="58D5A163"/>
    <w:rsid w:val="5B0C7B56"/>
    <w:rsid w:val="5C8D675E"/>
    <w:rsid w:val="5F174943"/>
    <w:rsid w:val="5F965613"/>
    <w:rsid w:val="6008B19B"/>
    <w:rsid w:val="602638AB"/>
    <w:rsid w:val="607D76F1"/>
    <w:rsid w:val="61EECAC9"/>
    <w:rsid w:val="6219AB91"/>
    <w:rsid w:val="633D1A62"/>
    <w:rsid w:val="645DAAB7"/>
    <w:rsid w:val="64A8E8DA"/>
    <w:rsid w:val="696D50C9"/>
    <w:rsid w:val="6AC1694F"/>
    <w:rsid w:val="6B9155D5"/>
    <w:rsid w:val="6CC9F68C"/>
    <w:rsid w:val="6D5E535D"/>
    <w:rsid w:val="6E73F839"/>
    <w:rsid w:val="6FC2B09F"/>
    <w:rsid w:val="711D536D"/>
    <w:rsid w:val="71361433"/>
    <w:rsid w:val="71D6C486"/>
    <w:rsid w:val="71EA6A0A"/>
    <w:rsid w:val="7271E2BB"/>
    <w:rsid w:val="73EA5C68"/>
    <w:rsid w:val="7406CEC9"/>
    <w:rsid w:val="741406B1"/>
    <w:rsid w:val="744B0423"/>
    <w:rsid w:val="7480CC15"/>
    <w:rsid w:val="74906D57"/>
    <w:rsid w:val="75510F31"/>
    <w:rsid w:val="7672B1B8"/>
    <w:rsid w:val="76B19DDC"/>
    <w:rsid w:val="782C7543"/>
    <w:rsid w:val="795CE5CA"/>
    <w:rsid w:val="7A683AFC"/>
    <w:rsid w:val="7A906DEB"/>
    <w:rsid w:val="7DE02C1D"/>
    <w:rsid w:val="7E5DD197"/>
    <w:rsid w:val="7F7924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79B5"/>
  <w15:chartTrackingRefBased/>
  <w15:docId w15:val="{5B65F072-E72C-40B6-AD51-ED7E4665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21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21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218F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218F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218F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218F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218F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218F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218F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218F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218F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218F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218F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218F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218F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218F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218F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218F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21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218F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218F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218F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218F8"/>
    <w:pPr>
      <w:spacing w:before="160"/>
      <w:jc w:val="center"/>
    </w:pPr>
    <w:rPr>
      <w:i/>
      <w:iCs/>
      <w:color w:val="404040" w:themeColor="text1" w:themeTint="BF"/>
    </w:rPr>
  </w:style>
  <w:style w:type="character" w:customStyle="1" w:styleId="TsitaatMrk">
    <w:name w:val="Tsitaat Märk"/>
    <w:basedOn w:val="Liguvaikefont"/>
    <w:link w:val="Tsitaat"/>
    <w:uiPriority w:val="29"/>
    <w:rsid w:val="00D218F8"/>
    <w:rPr>
      <w:i/>
      <w:iCs/>
      <w:color w:val="404040" w:themeColor="text1" w:themeTint="BF"/>
    </w:rPr>
  </w:style>
  <w:style w:type="paragraph" w:styleId="Loendilik">
    <w:name w:val="List Paragraph"/>
    <w:basedOn w:val="Normaallaad"/>
    <w:uiPriority w:val="34"/>
    <w:qFormat/>
    <w:rsid w:val="00D218F8"/>
    <w:pPr>
      <w:ind w:left="720"/>
      <w:contextualSpacing/>
    </w:pPr>
  </w:style>
  <w:style w:type="character" w:styleId="Selgeltmrgatavrhutus">
    <w:name w:val="Intense Emphasis"/>
    <w:basedOn w:val="Liguvaikefont"/>
    <w:uiPriority w:val="21"/>
    <w:qFormat/>
    <w:rsid w:val="00D218F8"/>
    <w:rPr>
      <w:i/>
      <w:iCs/>
      <w:color w:val="0F4761" w:themeColor="accent1" w:themeShade="BF"/>
    </w:rPr>
  </w:style>
  <w:style w:type="paragraph" w:styleId="Selgeltmrgatavtsitaat">
    <w:name w:val="Intense Quote"/>
    <w:basedOn w:val="Normaallaad"/>
    <w:next w:val="Normaallaad"/>
    <w:link w:val="SelgeltmrgatavtsitaatMrk"/>
    <w:uiPriority w:val="30"/>
    <w:qFormat/>
    <w:rsid w:val="00D21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218F8"/>
    <w:rPr>
      <w:i/>
      <w:iCs/>
      <w:color w:val="0F4761" w:themeColor="accent1" w:themeShade="BF"/>
    </w:rPr>
  </w:style>
  <w:style w:type="character" w:styleId="Selgeltmrgatavviide">
    <w:name w:val="Intense Reference"/>
    <w:basedOn w:val="Liguvaikefont"/>
    <w:uiPriority w:val="32"/>
    <w:qFormat/>
    <w:rsid w:val="00D218F8"/>
    <w:rPr>
      <w:b/>
      <w:bCs/>
      <w:smallCaps/>
      <w:color w:val="0F4761" w:themeColor="accent1" w:themeShade="BF"/>
      <w:spacing w:val="5"/>
    </w:rPr>
  </w:style>
  <w:style w:type="table" w:styleId="Kontuurtabel">
    <w:name w:val="Table Grid"/>
    <w:basedOn w:val="Normaaltabel"/>
    <w:uiPriority w:val="39"/>
    <w:rsid w:val="00D2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D35432"/>
    <w:rPr>
      <w:sz w:val="16"/>
      <w:szCs w:val="16"/>
    </w:rPr>
  </w:style>
  <w:style w:type="paragraph" w:styleId="Kommentaaritekst">
    <w:name w:val="annotation text"/>
    <w:basedOn w:val="Normaallaad"/>
    <w:link w:val="KommentaaritekstMrk"/>
    <w:uiPriority w:val="99"/>
    <w:unhideWhenUsed/>
    <w:rsid w:val="00D35432"/>
    <w:pPr>
      <w:spacing w:line="240" w:lineRule="auto"/>
    </w:pPr>
    <w:rPr>
      <w:sz w:val="20"/>
      <w:szCs w:val="20"/>
    </w:rPr>
  </w:style>
  <w:style w:type="character" w:customStyle="1" w:styleId="KommentaaritekstMrk">
    <w:name w:val="Kommentaari tekst Märk"/>
    <w:basedOn w:val="Liguvaikefont"/>
    <w:link w:val="Kommentaaritekst"/>
    <w:uiPriority w:val="99"/>
    <w:rsid w:val="00D35432"/>
    <w:rPr>
      <w:sz w:val="20"/>
      <w:szCs w:val="20"/>
    </w:rPr>
  </w:style>
  <w:style w:type="paragraph" w:styleId="Kommentaariteema">
    <w:name w:val="annotation subject"/>
    <w:basedOn w:val="Kommentaaritekst"/>
    <w:next w:val="Kommentaaritekst"/>
    <w:link w:val="KommentaariteemaMrk"/>
    <w:uiPriority w:val="99"/>
    <w:semiHidden/>
    <w:unhideWhenUsed/>
    <w:rsid w:val="00D35432"/>
    <w:rPr>
      <w:b/>
      <w:bCs/>
    </w:rPr>
  </w:style>
  <w:style w:type="character" w:customStyle="1" w:styleId="KommentaariteemaMrk">
    <w:name w:val="Kommentaari teema Märk"/>
    <w:basedOn w:val="KommentaaritekstMrk"/>
    <w:link w:val="Kommentaariteema"/>
    <w:uiPriority w:val="99"/>
    <w:semiHidden/>
    <w:rsid w:val="00D35432"/>
    <w:rPr>
      <w:b/>
      <w:bCs/>
      <w:sz w:val="20"/>
      <w:szCs w:val="20"/>
    </w:rPr>
  </w:style>
  <w:style w:type="paragraph" w:styleId="Redaktsioon">
    <w:name w:val="Revision"/>
    <w:hidden/>
    <w:uiPriority w:val="99"/>
    <w:semiHidden/>
    <w:rsid w:val="005D2719"/>
    <w:pPr>
      <w:spacing w:after="0" w:line="240" w:lineRule="auto"/>
    </w:pPr>
  </w:style>
  <w:style w:type="paragraph" w:customStyle="1" w:styleId="oj-normal">
    <w:name w:val="oj-normal"/>
    <w:basedOn w:val="Normaallaad"/>
    <w:rsid w:val="00EB33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Vahedeta">
    <w:name w:val="No Spacing"/>
    <w:uiPriority w:val="1"/>
    <w:qFormat/>
    <w:rsid w:val="00110EE7"/>
    <w:pPr>
      <w:spacing w:after="0" w:line="240" w:lineRule="auto"/>
    </w:pPr>
    <w:rPr>
      <w:kern w:val="0"/>
      <w14:ligatures w14:val="none"/>
    </w:rPr>
  </w:style>
  <w:style w:type="paragraph" w:styleId="Allmrkusetekst">
    <w:name w:val="footnote text"/>
    <w:basedOn w:val="Normaallaad"/>
    <w:link w:val="AllmrkusetekstMrk"/>
    <w:uiPriority w:val="99"/>
    <w:semiHidden/>
    <w:unhideWhenUsed/>
    <w:rsid w:val="00110EE7"/>
    <w:pPr>
      <w:spacing w:after="0" w:line="240" w:lineRule="auto"/>
    </w:pPr>
    <w:rPr>
      <w:rFonts w:ascii="Calibri" w:hAnsi="Calibri"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110EE7"/>
    <w:rPr>
      <w:rFonts w:ascii="Calibri" w:hAnsi="Calibri" w:cs="Times New Roman"/>
      <w:kern w:val="0"/>
      <w:sz w:val="20"/>
      <w:szCs w:val="20"/>
      <w14:ligatures w14:val="none"/>
    </w:rPr>
  </w:style>
  <w:style w:type="character" w:styleId="Allmrkuseviide">
    <w:name w:val="footnote reference"/>
    <w:basedOn w:val="Liguvaikefont"/>
    <w:uiPriority w:val="99"/>
    <w:semiHidden/>
    <w:unhideWhenUsed/>
    <w:rsid w:val="00110EE7"/>
    <w:rPr>
      <w:vertAlign w:val="superscript"/>
    </w:rPr>
  </w:style>
  <w:style w:type="character" w:styleId="Hperlink">
    <w:name w:val="Hyperlink"/>
    <w:basedOn w:val="Liguvaikefont"/>
    <w:uiPriority w:val="99"/>
    <w:unhideWhenUsed/>
    <w:rsid w:val="00110EE7"/>
    <w:rPr>
      <w:color w:val="467886" w:themeColor="hyperlink"/>
      <w:u w:val="single"/>
    </w:rPr>
  </w:style>
  <w:style w:type="paragraph" w:styleId="Normaallaadveeb">
    <w:name w:val="Normal (Web)"/>
    <w:basedOn w:val="Normaallaad"/>
    <w:uiPriority w:val="99"/>
    <w:unhideWhenUsed/>
    <w:rsid w:val="00010E3A"/>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5032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33">
      <w:bodyDiv w:val="1"/>
      <w:marLeft w:val="0"/>
      <w:marRight w:val="0"/>
      <w:marTop w:val="0"/>
      <w:marBottom w:val="0"/>
      <w:divBdr>
        <w:top w:val="none" w:sz="0" w:space="0" w:color="auto"/>
        <w:left w:val="none" w:sz="0" w:space="0" w:color="auto"/>
        <w:bottom w:val="none" w:sz="0" w:space="0" w:color="auto"/>
        <w:right w:val="none" w:sz="0" w:space="0" w:color="auto"/>
      </w:divBdr>
    </w:div>
    <w:div w:id="263073793">
      <w:bodyDiv w:val="1"/>
      <w:marLeft w:val="0"/>
      <w:marRight w:val="0"/>
      <w:marTop w:val="0"/>
      <w:marBottom w:val="0"/>
      <w:divBdr>
        <w:top w:val="none" w:sz="0" w:space="0" w:color="auto"/>
        <w:left w:val="none" w:sz="0" w:space="0" w:color="auto"/>
        <w:bottom w:val="none" w:sz="0" w:space="0" w:color="auto"/>
        <w:right w:val="none" w:sz="0" w:space="0" w:color="auto"/>
      </w:divBdr>
    </w:div>
    <w:div w:id="398870576">
      <w:bodyDiv w:val="1"/>
      <w:marLeft w:val="0"/>
      <w:marRight w:val="0"/>
      <w:marTop w:val="0"/>
      <w:marBottom w:val="0"/>
      <w:divBdr>
        <w:top w:val="none" w:sz="0" w:space="0" w:color="auto"/>
        <w:left w:val="none" w:sz="0" w:space="0" w:color="auto"/>
        <w:bottom w:val="none" w:sz="0" w:space="0" w:color="auto"/>
        <w:right w:val="none" w:sz="0" w:space="0" w:color="auto"/>
      </w:divBdr>
    </w:div>
    <w:div w:id="1026949459">
      <w:bodyDiv w:val="1"/>
      <w:marLeft w:val="0"/>
      <w:marRight w:val="0"/>
      <w:marTop w:val="0"/>
      <w:marBottom w:val="0"/>
      <w:divBdr>
        <w:top w:val="none" w:sz="0" w:space="0" w:color="auto"/>
        <w:left w:val="none" w:sz="0" w:space="0" w:color="auto"/>
        <w:bottom w:val="none" w:sz="0" w:space="0" w:color="auto"/>
        <w:right w:val="none" w:sz="0" w:space="0" w:color="auto"/>
      </w:divBdr>
    </w:div>
    <w:div w:id="1584097368">
      <w:bodyDiv w:val="1"/>
      <w:marLeft w:val="0"/>
      <w:marRight w:val="0"/>
      <w:marTop w:val="0"/>
      <w:marBottom w:val="0"/>
      <w:divBdr>
        <w:top w:val="none" w:sz="0" w:space="0" w:color="auto"/>
        <w:left w:val="none" w:sz="0" w:space="0" w:color="auto"/>
        <w:bottom w:val="none" w:sz="0" w:space="0" w:color="auto"/>
        <w:right w:val="none" w:sz="0" w:space="0" w:color="auto"/>
      </w:divBdr>
    </w:div>
    <w:div w:id="1701781656">
      <w:bodyDiv w:val="1"/>
      <w:marLeft w:val="0"/>
      <w:marRight w:val="0"/>
      <w:marTop w:val="0"/>
      <w:marBottom w:val="0"/>
      <w:divBdr>
        <w:top w:val="none" w:sz="0" w:space="0" w:color="auto"/>
        <w:left w:val="none" w:sz="0" w:space="0" w:color="auto"/>
        <w:bottom w:val="none" w:sz="0" w:space="0" w:color="auto"/>
        <w:right w:val="none" w:sz="0" w:space="0" w:color="auto"/>
      </w:divBdr>
    </w:div>
    <w:div w:id="19680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148804?leiaKeht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3148804?leiaKehti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iigikogu.ee/tegevus/eelnoud/eelnou/78433b29-8b2f-4281-a582-0efb9631e2ad/karistusseadustiku-muutmise-ja-sellega-seonduvalt-teiste-seaduste-muutmise-seadus/" TargetMode="External"/><Relationship Id="rId1" Type="http://schemas.openxmlformats.org/officeDocument/2006/relationships/hyperlink" Target="https://www.justdigi.ee/sites/default/files/documents/2025-05/Halduskoormuse%20tasakaalustamise%20reegli%20rakendamise%20juhis.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8603-AFEA-4FB1-859E-5B6C6F67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6552</Words>
  <Characters>38005</Characters>
  <Application>Microsoft Office Word</Application>
  <DocSecurity>0</DocSecurity>
  <Lines>316</Lines>
  <Paragraphs>88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KeJS_kooskolastustabel_19062025</vt:lpstr>
      <vt:lpstr>KeJS_kooskolastustabel_19062025</vt:lpstr>
    </vt:vector>
  </TitlesOfParts>
  <Company>KeMIT</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1_AÕKS_märkustega arvestamise tabel_ 280825</dc:title>
  <dc:subject/>
  <dc:creator>Kaili Kuusk</dc:creator>
  <dc:description/>
  <cp:lastModifiedBy>Mari-Liis Kupri</cp:lastModifiedBy>
  <cp:revision>9</cp:revision>
  <dcterms:created xsi:type="dcterms:W3CDTF">2025-08-28T09:27:00Z</dcterms:created>
  <dcterms:modified xsi:type="dcterms:W3CDTF">2025-09-01T09:56:00Z</dcterms:modified>
</cp:coreProperties>
</file>